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https://www-cdn.oxfam.org/s3fs-public/file_attachments/bp210-economy-one-percent-tax-havens-180116-en_0.pdf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https://www.theguardian.com/news/datablog/2015/mar/27/income-inequality-rising-falling-worlds-richest-poorest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use these two articles to answer questions </w:t>
      </w:r>
    </w:p>
    <w:p w:rsidR="00000000" w:rsidDel="00000000" w:rsidP="00000000" w:rsidRDefault="00000000" w:rsidRPr="00000000" w14:paraId="00000005">
      <w:pPr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1100" w:hanging="360"/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In what ways does the interpretation of data create two distinct understandings of global inequality?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1100" w:hanging="360"/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Is the decline in poverty or distribution of income more important?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1100" w:hanging="360"/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What systematic changes can the international system make to mitigate inequality?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d3b4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-cdn.oxfam.org/s3fs-public/file_attachments/bp210-economy-one-percent-tax-havens-180116-en_0.pdf" TargetMode="External"/><Relationship Id="rId7" Type="http://schemas.openxmlformats.org/officeDocument/2006/relationships/hyperlink" Target="https://www.theguardian.com/news/datablog/2015/mar/27/income-inequality-rising-falling-worlds-richest-poo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