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613F4" w14:textId="77777777" w:rsidR="001F0510" w:rsidRPr="005F4AEC" w:rsidRDefault="001F0510" w:rsidP="002E05BB">
      <w:pPr>
        <w:pStyle w:val="Header"/>
        <w:tabs>
          <w:tab w:val="clear" w:pos="4320"/>
          <w:tab w:val="clear" w:pos="8640"/>
        </w:tabs>
        <w:rPr>
          <w:rFonts w:cs="Arial"/>
        </w:rPr>
      </w:pPr>
      <w:bookmarkStart w:id="0" w:name="_GoBack"/>
      <w:bookmarkEnd w:id="0"/>
    </w:p>
    <w:p w14:paraId="6FD83501" w14:textId="6BDF0615" w:rsidR="004B283F" w:rsidRPr="00CC381B" w:rsidRDefault="00CC381B" w:rsidP="004337D5">
      <w:pPr>
        <w:pStyle w:val="Header"/>
        <w:tabs>
          <w:tab w:val="clear" w:pos="4320"/>
          <w:tab w:val="clear" w:pos="8640"/>
        </w:tabs>
        <w:jc w:val="center"/>
        <w:rPr>
          <w:rFonts w:cs="Arial"/>
          <w:b/>
          <w:sz w:val="28"/>
          <w:szCs w:val="28"/>
        </w:rPr>
      </w:pPr>
      <w:r w:rsidRPr="00CC381B">
        <w:rPr>
          <w:rFonts w:cs="Arial"/>
          <w:b/>
          <w:spacing w:val="3"/>
          <w:shd w:val="clear" w:color="auto" w:fill="FFFFFF"/>
        </w:rPr>
        <w:t>Maryland Home and Community-Based Services (MHCBS) </w:t>
      </w:r>
    </w:p>
    <w:p w14:paraId="0126115B" w14:textId="203FB93B" w:rsidR="008735EA" w:rsidRPr="008735EA" w:rsidRDefault="008735EA" w:rsidP="008735EA">
      <w:pPr>
        <w:pStyle w:val="NormalWeb"/>
        <w:shd w:val="clear" w:color="auto" w:fill="F9FBFF"/>
        <w:spacing w:before="120" w:beforeAutospacing="0" w:after="240" w:afterAutospacing="0"/>
        <w:rPr>
          <w:rFonts w:ascii="Arial" w:hAnsi="Arial" w:cs="Arial"/>
          <w:color w:val="494C4E"/>
          <w:spacing w:val="3"/>
        </w:rPr>
      </w:pPr>
      <w:r w:rsidRPr="008735EA">
        <w:rPr>
          <w:rFonts w:ascii="Arial" w:hAnsi="Arial" w:cs="Arial"/>
          <w:color w:val="494C4E"/>
          <w:spacing w:val="3"/>
        </w:rPr>
        <w:t xml:space="preserve">Maryland Home and Community-Based Services (MHCBS) is considering a major expansion that will enable it to attract a different clientele to its </w:t>
      </w:r>
      <w:r>
        <w:rPr>
          <w:rFonts w:ascii="Arial" w:hAnsi="Arial" w:cs="Arial"/>
          <w:color w:val="494C4E"/>
          <w:spacing w:val="3"/>
        </w:rPr>
        <w:t>o</w:t>
      </w:r>
      <w:r w:rsidRPr="008735EA">
        <w:rPr>
          <w:rFonts w:ascii="Arial" w:hAnsi="Arial" w:cs="Arial"/>
          <w:color w:val="494C4E"/>
          <w:spacing w:val="3"/>
        </w:rPr>
        <w:t>rganization.  Currently, they serve only 34% of the frail elderly seniors and persons with disabilities in the local area.  The new chief CEO would like the organization to expand its revenue stream by investing in a senior multipurpose center serving healthy seniors by offering them arts and crafts and health and wellness programs.  The center will also contain an Internet café offering nutritious breakfast and lunch options.</w:t>
      </w:r>
    </w:p>
    <w:p w14:paraId="2C749272" w14:textId="77777777" w:rsidR="008735EA" w:rsidRPr="008735EA" w:rsidRDefault="008735EA" w:rsidP="008735EA">
      <w:pPr>
        <w:pStyle w:val="NormalWeb"/>
        <w:shd w:val="clear" w:color="auto" w:fill="F9FBFF"/>
        <w:spacing w:before="120" w:beforeAutospacing="0" w:after="240" w:afterAutospacing="0"/>
        <w:rPr>
          <w:rFonts w:ascii="Arial" w:hAnsi="Arial" w:cs="Arial"/>
          <w:color w:val="494C4E"/>
          <w:spacing w:val="3"/>
        </w:rPr>
      </w:pPr>
      <w:r w:rsidRPr="008735EA">
        <w:rPr>
          <w:rFonts w:ascii="Arial" w:hAnsi="Arial" w:cs="Arial"/>
          <w:color w:val="494C4E"/>
          <w:spacing w:val="3"/>
        </w:rPr>
        <w:t xml:space="preserve">The CEO has commissioned a needs assessment, and the study’s results reveal that there are approximately </w:t>
      </w:r>
      <w:r w:rsidRPr="008735EA">
        <w:rPr>
          <w:rFonts w:ascii="Arial" w:hAnsi="Arial" w:cs="Arial"/>
          <w:b/>
          <w:color w:val="00B050"/>
          <w:spacing w:val="3"/>
        </w:rPr>
        <w:t>120 seniors</w:t>
      </w:r>
      <w:r w:rsidRPr="008735EA">
        <w:rPr>
          <w:rFonts w:ascii="Arial" w:hAnsi="Arial" w:cs="Arial"/>
          <w:color w:val="00B050"/>
          <w:spacing w:val="3"/>
        </w:rPr>
        <w:t xml:space="preserve"> </w:t>
      </w:r>
      <w:r w:rsidRPr="008735EA">
        <w:rPr>
          <w:rFonts w:ascii="Arial" w:hAnsi="Arial" w:cs="Arial"/>
          <w:color w:val="494C4E"/>
          <w:spacing w:val="3"/>
        </w:rPr>
        <w:t>in the local community who are interested in this center and the CEO expects growth of the aging population to be at least 10% each year.  Cost growth across all areas of expense is expected to rise by 5% each year.  The CEO has presented her proposal and financial information to the Board of Directors, and they have advised her that they are in full support of her strategy only if the program is a benefit to the community and if the organization can recoup its investment in </w:t>
      </w:r>
      <w:r w:rsidRPr="008735EA">
        <w:rPr>
          <w:rFonts w:ascii="Arial" w:hAnsi="Arial" w:cs="Arial"/>
          <w:b/>
          <w:bCs/>
          <w:color w:val="494C4E"/>
          <w:spacing w:val="3"/>
        </w:rPr>
        <w:t>five years</w:t>
      </w:r>
      <w:r w:rsidRPr="008735EA">
        <w:rPr>
          <w:rFonts w:ascii="Arial" w:hAnsi="Arial" w:cs="Arial"/>
          <w:color w:val="494C4E"/>
          <w:spacing w:val="3"/>
        </w:rPr>
        <w:t>.  The CEO has asked you if this can be achieved.  Based on the information presented in the scenario, calculate the two analyses and explain, in a brief memorandum to the CEO, their implications.</w:t>
      </w:r>
    </w:p>
    <w:p w14:paraId="5C142725" w14:textId="77777777" w:rsidR="003B0632" w:rsidRPr="004337D5" w:rsidRDefault="00B46AD9" w:rsidP="002E05BB">
      <w:pPr>
        <w:pStyle w:val="Header"/>
        <w:tabs>
          <w:tab w:val="clear" w:pos="4320"/>
          <w:tab w:val="clear" w:pos="8640"/>
        </w:tabs>
        <w:rPr>
          <w:rFonts w:cs="Arial"/>
          <w:b/>
        </w:rPr>
      </w:pPr>
      <w:r w:rsidRPr="004337D5">
        <w:rPr>
          <w:rFonts w:cs="Arial"/>
          <w:b/>
        </w:rPr>
        <w:t xml:space="preserve">1. </w:t>
      </w:r>
      <w:r w:rsidR="003B0632" w:rsidRPr="004337D5">
        <w:rPr>
          <w:rFonts w:cs="Arial"/>
          <w:b/>
        </w:rPr>
        <w:t>Break-even volume = Total fixed costs / (Average charge per client – Average variable cost per client)</w:t>
      </w:r>
    </w:p>
    <w:p w14:paraId="0C2E9DB2" w14:textId="77777777" w:rsidR="006A0243" w:rsidRDefault="006A0243" w:rsidP="002E05BB">
      <w:pPr>
        <w:pStyle w:val="Header"/>
        <w:tabs>
          <w:tab w:val="clear" w:pos="4320"/>
          <w:tab w:val="clear" w:pos="8640"/>
        </w:tabs>
        <w:rPr>
          <w:rFonts w:cs="Arial"/>
        </w:rPr>
      </w:pPr>
    </w:p>
    <w:p w14:paraId="736474AD" w14:textId="77777777" w:rsidR="006F2362" w:rsidRPr="005A2F0B" w:rsidRDefault="006F2362" w:rsidP="006F2362">
      <w:pPr>
        <w:pStyle w:val="Header"/>
        <w:tabs>
          <w:tab w:val="clear" w:pos="4320"/>
          <w:tab w:val="clear" w:pos="8640"/>
        </w:tabs>
        <w:ind w:left="720"/>
        <w:rPr>
          <w:rFonts w:cs="Arial"/>
        </w:rPr>
      </w:pPr>
      <w:r w:rsidRPr="005A2F0B">
        <w:rPr>
          <w:rFonts w:cs="Arial"/>
        </w:rPr>
        <w:t>Monthly Fixed Costs</w:t>
      </w:r>
    </w:p>
    <w:p w14:paraId="6FDD07D5" w14:textId="77777777" w:rsidR="006F2362" w:rsidRPr="005A2F0B" w:rsidRDefault="006F2362" w:rsidP="006F2362">
      <w:pPr>
        <w:pStyle w:val="Header"/>
        <w:numPr>
          <w:ilvl w:val="0"/>
          <w:numId w:val="1"/>
        </w:numPr>
        <w:tabs>
          <w:tab w:val="clear" w:pos="4320"/>
          <w:tab w:val="clear" w:pos="8640"/>
        </w:tabs>
        <w:ind w:left="1080"/>
        <w:rPr>
          <w:rFonts w:cs="Arial"/>
        </w:rPr>
      </w:pPr>
      <w:r w:rsidRPr="005A2F0B">
        <w:rPr>
          <w:rFonts w:cs="Arial"/>
        </w:rPr>
        <w:t>Utilities $590</w:t>
      </w:r>
    </w:p>
    <w:p w14:paraId="0D82614E" w14:textId="77777777" w:rsidR="006F2362" w:rsidRPr="005A2F0B" w:rsidRDefault="006F2362" w:rsidP="006F2362">
      <w:pPr>
        <w:pStyle w:val="Header"/>
        <w:numPr>
          <w:ilvl w:val="0"/>
          <w:numId w:val="1"/>
        </w:numPr>
        <w:tabs>
          <w:tab w:val="clear" w:pos="4320"/>
          <w:tab w:val="clear" w:pos="8640"/>
        </w:tabs>
        <w:ind w:left="1080"/>
        <w:rPr>
          <w:rFonts w:cs="Arial"/>
        </w:rPr>
      </w:pPr>
      <w:r w:rsidRPr="005A2F0B">
        <w:rPr>
          <w:rFonts w:cs="Arial"/>
        </w:rPr>
        <w:t>Health/Wellness Staff $</w:t>
      </w:r>
      <w:r>
        <w:rPr>
          <w:rFonts w:cs="Arial"/>
        </w:rPr>
        <w:t>2</w:t>
      </w:r>
      <w:r w:rsidRPr="005A2F0B">
        <w:rPr>
          <w:rFonts w:cs="Arial"/>
        </w:rPr>
        <w:t>,500</w:t>
      </w:r>
    </w:p>
    <w:p w14:paraId="5DDBA89A" w14:textId="77777777" w:rsidR="006F2362" w:rsidRPr="005A2F0B" w:rsidRDefault="006F2362" w:rsidP="006F2362">
      <w:pPr>
        <w:pStyle w:val="Header"/>
        <w:numPr>
          <w:ilvl w:val="0"/>
          <w:numId w:val="1"/>
        </w:numPr>
        <w:tabs>
          <w:tab w:val="clear" w:pos="4320"/>
          <w:tab w:val="clear" w:pos="8640"/>
        </w:tabs>
        <w:ind w:left="1080"/>
        <w:rPr>
          <w:rFonts w:cs="Arial"/>
        </w:rPr>
      </w:pPr>
      <w:r w:rsidRPr="005A2F0B">
        <w:rPr>
          <w:rFonts w:cs="Arial"/>
        </w:rPr>
        <w:t>Arts/Crafts Staff $2,000</w:t>
      </w:r>
    </w:p>
    <w:p w14:paraId="4EE00FC9" w14:textId="77777777" w:rsidR="006F2362" w:rsidRPr="005A2F0B" w:rsidRDefault="006F2362" w:rsidP="006F2362">
      <w:pPr>
        <w:pStyle w:val="Header"/>
        <w:numPr>
          <w:ilvl w:val="0"/>
          <w:numId w:val="1"/>
        </w:numPr>
        <w:tabs>
          <w:tab w:val="clear" w:pos="4320"/>
          <w:tab w:val="clear" w:pos="8640"/>
        </w:tabs>
        <w:ind w:left="1080"/>
        <w:rPr>
          <w:rFonts w:cs="Arial"/>
        </w:rPr>
      </w:pPr>
      <w:r w:rsidRPr="005A2F0B">
        <w:rPr>
          <w:rFonts w:cs="Arial"/>
        </w:rPr>
        <w:t>Supplies $</w:t>
      </w:r>
      <w:r>
        <w:rPr>
          <w:rFonts w:cs="Arial"/>
        </w:rPr>
        <w:t>8</w:t>
      </w:r>
      <w:r w:rsidRPr="005A2F0B">
        <w:rPr>
          <w:rFonts w:cs="Arial"/>
        </w:rPr>
        <w:t>00</w:t>
      </w:r>
    </w:p>
    <w:p w14:paraId="04CA64D2" w14:textId="77777777" w:rsidR="006F2362" w:rsidRPr="005A2F0B" w:rsidRDefault="006F2362" w:rsidP="006F2362">
      <w:pPr>
        <w:pStyle w:val="Header"/>
        <w:numPr>
          <w:ilvl w:val="0"/>
          <w:numId w:val="1"/>
        </w:numPr>
        <w:tabs>
          <w:tab w:val="clear" w:pos="4320"/>
          <w:tab w:val="clear" w:pos="8640"/>
        </w:tabs>
        <w:ind w:left="1080"/>
        <w:rPr>
          <w:rFonts w:cs="Arial"/>
        </w:rPr>
      </w:pPr>
      <w:r w:rsidRPr="005A2F0B">
        <w:rPr>
          <w:rFonts w:cs="Arial"/>
        </w:rPr>
        <w:t xml:space="preserve">Fitness Equipment </w:t>
      </w:r>
      <w:r>
        <w:rPr>
          <w:rFonts w:cs="Arial"/>
        </w:rPr>
        <w:t>Maintenance Contract</w:t>
      </w:r>
      <w:r w:rsidRPr="005A2F0B">
        <w:rPr>
          <w:rFonts w:cs="Arial"/>
        </w:rPr>
        <w:t xml:space="preserve"> $</w:t>
      </w:r>
      <w:r>
        <w:rPr>
          <w:rFonts w:cs="Arial"/>
        </w:rPr>
        <w:t>20</w:t>
      </w:r>
      <w:r w:rsidRPr="005A2F0B">
        <w:rPr>
          <w:rFonts w:cs="Arial"/>
        </w:rPr>
        <w:t>0</w:t>
      </w:r>
    </w:p>
    <w:p w14:paraId="638A74C0" w14:textId="77777777" w:rsidR="006F2362" w:rsidRPr="005A2F0B" w:rsidRDefault="006F2362" w:rsidP="006F2362">
      <w:pPr>
        <w:pStyle w:val="Header"/>
        <w:tabs>
          <w:tab w:val="clear" w:pos="4320"/>
          <w:tab w:val="clear" w:pos="8640"/>
        </w:tabs>
        <w:ind w:left="720"/>
        <w:rPr>
          <w:rFonts w:cs="Arial"/>
        </w:rPr>
      </w:pPr>
    </w:p>
    <w:p w14:paraId="51ADC6E3" w14:textId="77777777" w:rsidR="006F2362" w:rsidRPr="005A2F0B" w:rsidRDefault="006F2362" w:rsidP="006F2362">
      <w:pPr>
        <w:pStyle w:val="Header"/>
        <w:tabs>
          <w:tab w:val="clear" w:pos="4320"/>
          <w:tab w:val="clear" w:pos="8640"/>
        </w:tabs>
        <w:ind w:left="720"/>
        <w:rPr>
          <w:rFonts w:cs="Arial"/>
        </w:rPr>
      </w:pPr>
      <w:r w:rsidRPr="005A2F0B">
        <w:rPr>
          <w:rFonts w:cs="Arial"/>
        </w:rPr>
        <w:t>Variable Costs</w:t>
      </w:r>
    </w:p>
    <w:p w14:paraId="156CCCA0" w14:textId="77777777" w:rsidR="006F2362" w:rsidRPr="005A2F0B" w:rsidRDefault="006F2362" w:rsidP="006F2362">
      <w:pPr>
        <w:pStyle w:val="Header"/>
        <w:numPr>
          <w:ilvl w:val="0"/>
          <w:numId w:val="1"/>
        </w:numPr>
        <w:tabs>
          <w:tab w:val="clear" w:pos="4320"/>
          <w:tab w:val="clear" w:pos="8640"/>
        </w:tabs>
        <w:ind w:left="1080"/>
        <w:rPr>
          <w:rFonts w:cs="Arial"/>
        </w:rPr>
      </w:pPr>
      <w:r w:rsidRPr="005A2F0B">
        <w:rPr>
          <w:rFonts w:cs="Arial"/>
        </w:rPr>
        <w:t>Monthly Lunch Cost $</w:t>
      </w:r>
      <w:r>
        <w:rPr>
          <w:rFonts w:cs="Arial"/>
        </w:rPr>
        <w:t>2</w:t>
      </w:r>
      <w:r w:rsidRPr="005A2F0B">
        <w:rPr>
          <w:rFonts w:cs="Arial"/>
        </w:rPr>
        <w:t>5</w:t>
      </w:r>
    </w:p>
    <w:p w14:paraId="09F2CE7A" w14:textId="77777777" w:rsidR="006F2362" w:rsidRPr="005A2F0B" w:rsidRDefault="006F2362" w:rsidP="006F2362">
      <w:pPr>
        <w:pStyle w:val="Header"/>
        <w:numPr>
          <w:ilvl w:val="0"/>
          <w:numId w:val="1"/>
        </w:numPr>
        <w:tabs>
          <w:tab w:val="clear" w:pos="4320"/>
          <w:tab w:val="clear" w:pos="8640"/>
        </w:tabs>
        <w:ind w:left="1080"/>
        <w:rPr>
          <w:rFonts w:cs="Arial"/>
        </w:rPr>
      </w:pPr>
      <w:r w:rsidRPr="005A2F0B">
        <w:rPr>
          <w:rFonts w:cs="Arial"/>
        </w:rPr>
        <w:t>Monthly Breakfast Cost $</w:t>
      </w:r>
      <w:r>
        <w:rPr>
          <w:rFonts w:cs="Arial"/>
        </w:rPr>
        <w:t>1</w:t>
      </w:r>
      <w:r w:rsidRPr="005A2F0B">
        <w:rPr>
          <w:rFonts w:cs="Arial"/>
        </w:rPr>
        <w:t>5</w:t>
      </w:r>
    </w:p>
    <w:p w14:paraId="42E7C236" w14:textId="77777777" w:rsidR="006F2362" w:rsidRDefault="006F2362" w:rsidP="006F2362">
      <w:pPr>
        <w:pStyle w:val="Header"/>
        <w:tabs>
          <w:tab w:val="clear" w:pos="4320"/>
          <w:tab w:val="clear" w:pos="8640"/>
        </w:tabs>
        <w:jc w:val="center"/>
        <w:rPr>
          <w:rFonts w:cs="Arial"/>
        </w:rPr>
      </w:pPr>
    </w:p>
    <w:p w14:paraId="50126BAE" w14:textId="77777777" w:rsidR="006F2362" w:rsidRDefault="006F2362" w:rsidP="006F2362">
      <w:pPr>
        <w:pStyle w:val="Header"/>
        <w:tabs>
          <w:tab w:val="clear" w:pos="4320"/>
          <w:tab w:val="clear" w:pos="8640"/>
        </w:tabs>
        <w:rPr>
          <w:rFonts w:cs="Arial"/>
        </w:rPr>
      </w:pPr>
      <w:r>
        <w:rPr>
          <w:rFonts w:cs="Arial"/>
        </w:rPr>
        <w:t>Add the total fixed costs = $6,090</w:t>
      </w:r>
    </w:p>
    <w:p w14:paraId="6DB9D8C9" w14:textId="77777777" w:rsidR="006F2362" w:rsidRDefault="006F2362" w:rsidP="006F2362">
      <w:pPr>
        <w:pStyle w:val="Header"/>
        <w:tabs>
          <w:tab w:val="clear" w:pos="4320"/>
          <w:tab w:val="clear" w:pos="8640"/>
        </w:tabs>
        <w:rPr>
          <w:rFonts w:cs="Arial"/>
        </w:rPr>
      </w:pPr>
    </w:p>
    <w:p w14:paraId="0DBE8A6A" w14:textId="457839B2" w:rsidR="006F2362" w:rsidRDefault="006F2362" w:rsidP="006F2362">
      <w:pPr>
        <w:pStyle w:val="Header"/>
        <w:tabs>
          <w:tab w:val="clear" w:pos="4320"/>
          <w:tab w:val="clear" w:pos="8640"/>
        </w:tabs>
        <w:rPr>
          <w:rFonts w:cs="Arial"/>
        </w:rPr>
      </w:pPr>
      <w:r>
        <w:rPr>
          <w:rFonts w:cs="Arial"/>
        </w:rPr>
        <w:t>Average charge per client = Monthly Membership Fee = $1</w:t>
      </w:r>
      <w:r w:rsidR="00CC381B">
        <w:rPr>
          <w:rFonts w:cs="Arial"/>
        </w:rPr>
        <w:t>2</w:t>
      </w:r>
      <w:r>
        <w:rPr>
          <w:rFonts w:cs="Arial"/>
        </w:rPr>
        <w:t>5</w:t>
      </w:r>
    </w:p>
    <w:p w14:paraId="61D0AD7E" w14:textId="77777777" w:rsidR="006F2362" w:rsidRDefault="006F2362" w:rsidP="006F2362">
      <w:pPr>
        <w:pStyle w:val="Header"/>
        <w:tabs>
          <w:tab w:val="clear" w:pos="4320"/>
          <w:tab w:val="clear" w:pos="8640"/>
        </w:tabs>
        <w:rPr>
          <w:rFonts w:cs="Arial"/>
        </w:rPr>
      </w:pPr>
    </w:p>
    <w:p w14:paraId="1D9CA254" w14:textId="77777777" w:rsidR="006F2362" w:rsidRDefault="006F2362" w:rsidP="006F2362">
      <w:pPr>
        <w:pStyle w:val="Header"/>
        <w:tabs>
          <w:tab w:val="clear" w:pos="4320"/>
          <w:tab w:val="clear" w:pos="8640"/>
        </w:tabs>
        <w:rPr>
          <w:rFonts w:cs="Arial"/>
        </w:rPr>
      </w:pPr>
      <w:r>
        <w:rPr>
          <w:rFonts w:cs="Arial"/>
        </w:rPr>
        <w:t>Average variable cost per client = Monthly Breakfast and Lunch Costs = $40</w:t>
      </w:r>
    </w:p>
    <w:p w14:paraId="1D0C250B" w14:textId="77777777" w:rsidR="006F2362" w:rsidRDefault="006F2362" w:rsidP="006F2362">
      <w:pPr>
        <w:pStyle w:val="Header"/>
        <w:tabs>
          <w:tab w:val="clear" w:pos="4320"/>
          <w:tab w:val="clear" w:pos="8640"/>
        </w:tabs>
        <w:rPr>
          <w:rFonts w:cs="Arial"/>
        </w:rPr>
      </w:pPr>
    </w:p>
    <w:p w14:paraId="75F5D722" w14:textId="47AA3733" w:rsidR="006F2362" w:rsidRDefault="006F2362" w:rsidP="006F2362">
      <w:pPr>
        <w:pStyle w:val="Header"/>
        <w:tabs>
          <w:tab w:val="clear" w:pos="4320"/>
          <w:tab w:val="clear" w:pos="8640"/>
        </w:tabs>
        <w:jc w:val="center"/>
        <w:rPr>
          <w:rFonts w:cs="Arial"/>
        </w:rPr>
      </w:pPr>
      <w:r>
        <w:rPr>
          <w:rFonts w:cs="Arial"/>
        </w:rPr>
        <w:t>$6,090 / ($1</w:t>
      </w:r>
      <w:r w:rsidR="00CC381B">
        <w:rPr>
          <w:rFonts w:cs="Arial"/>
        </w:rPr>
        <w:t>2</w:t>
      </w:r>
      <w:r>
        <w:rPr>
          <w:rFonts w:cs="Arial"/>
        </w:rPr>
        <w:t xml:space="preserve">5 </w:t>
      </w:r>
      <w:r w:rsidR="008E183B">
        <w:rPr>
          <w:rFonts w:cs="Arial"/>
        </w:rPr>
        <w:t>–</w:t>
      </w:r>
      <w:r>
        <w:rPr>
          <w:rFonts w:cs="Arial"/>
        </w:rPr>
        <w:t xml:space="preserve"> $40) = </w:t>
      </w:r>
      <w:r w:rsidR="00CC381B">
        <w:rPr>
          <w:rFonts w:cs="Arial"/>
        </w:rPr>
        <w:t>71.65</w:t>
      </w:r>
      <w:r>
        <w:rPr>
          <w:rFonts w:cs="Arial"/>
        </w:rPr>
        <w:t xml:space="preserve"> = </w:t>
      </w:r>
      <w:r w:rsidR="00CC381B">
        <w:rPr>
          <w:rFonts w:cs="Arial"/>
        </w:rPr>
        <w:t>72</w:t>
      </w:r>
    </w:p>
    <w:p w14:paraId="734B1FC5" w14:textId="77777777" w:rsidR="006F2362" w:rsidRDefault="006F2362" w:rsidP="006F2362">
      <w:pPr>
        <w:pStyle w:val="Header"/>
        <w:tabs>
          <w:tab w:val="clear" w:pos="4320"/>
          <w:tab w:val="clear" w:pos="8640"/>
        </w:tabs>
        <w:jc w:val="center"/>
        <w:rPr>
          <w:rFonts w:cs="Arial"/>
        </w:rPr>
      </w:pPr>
    </w:p>
    <w:p w14:paraId="240EC27A" w14:textId="2C375569" w:rsidR="006F2362" w:rsidRPr="006F2362" w:rsidRDefault="006F2362" w:rsidP="006F2362">
      <w:pPr>
        <w:pStyle w:val="Header"/>
        <w:tabs>
          <w:tab w:val="clear" w:pos="4320"/>
          <w:tab w:val="clear" w:pos="8640"/>
        </w:tabs>
        <w:rPr>
          <w:rFonts w:cs="Arial"/>
          <w:b/>
        </w:rPr>
      </w:pPr>
    </w:p>
    <w:p w14:paraId="65478A2D" w14:textId="77777777" w:rsidR="006F2362" w:rsidRPr="005A2F0B" w:rsidRDefault="006F2362" w:rsidP="006F2362">
      <w:pPr>
        <w:pStyle w:val="Header"/>
        <w:tabs>
          <w:tab w:val="clear" w:pos="4320"/>
          <w:tab w:val="clear" w:pos="8640"/>
        </w:tabs>
        <w:rPr>
          <w:rFonts w:cs="Arial"/>
        </w:rPr>
      </w:pPr>
    </w:p>
    <w:p w14:paraId="048CC19C" w14:textId="58DFD2E7" w:rsidR="003B0632" w:rsidRPr="004337D5" w:rsidRDefault="00B46AD9" w:rsidP="003B0632">
      <w:pPr>
        <w:pStyle w:val="Header"/>
        <w:tabs>
          <w:tab w:val="clear" w:pos="4320"/>
          <w:tab w:val="clear" w:pos="8640"/>
        </w:tabs>
        <w:rPr>
          <w:rFonts w:cs="Arial"/>
          <w:b/>
        </w:rPr>
      </w:pPr>
      <w:r w:rsidRPr="004337D5">
        <w:rPr>
          <w:rFonts w:cs="Arial"/>
          <w:b/>
        </w:rPr>
        <w:lastRenderedPageBreak/>
        <w:t xml:space="preserve">2. </w:t>
      </w:r>
      <w:r w:rsidR="00CC381B">
        <w:rPr>
          <w:rFonts w:cs="Arial"/>
          <w:b/>
        </w:rPr>
        <w:t>Payback period:</w:t>
      </w:r>
    </w:p>
    <w:p w14:paraId="288B732E" w14:textId="77777777" w:rsidR="000C5A13" w:rsidRDefault="000C5A13" w:rsidP="000C5A13">
      <w:pPr>
        <w:pStyle w:val="Header"/>
        <w:tabs>
          <w:tab w:val="clear" w:pos="4320"/>
          <w:tab w:val="clear" w:pos="8640"/>
        </w:tabs>
        <w:jc w:val="center"/>
        <w:rPr>
          <w:rFonts w:cs="Arial"/>
        </w:rPr>
      </w:pPr>
    </w:p>
    <w:tbl>
      <w:tblPr>
        <w:tblStyle w:val="TableGrid"/>
        <w:tblW w:w="0" w:type="auto"/>
        <w:tblLook w:val="04A0" w:firstRow="1" w:lastRow="0" w:firstColumn="1" w:lastColumn="0" w:noHBand="0" w:noVBand="1"/>
      </w:tblPr>
      <w:tblGrid>
        <w:gridCol w:w="3100"/>
        <w:gridCol w:w="3124"/>
        <w:gridCol w:w="3126"/>
      </w:tblGrid>
      <w:tr w:rsidR="000C5A13" w14:paraId="2771D155" w14:textId="77777777" w:rsidTr="00CC381B">
        <w:tc>
          <w:tcPr>
            <w:tcW w:w="3100" w:type="dxa"/>
          </w:tcPr>
          <w:p w14:paraId="08CE863A" w14:textId="77777777" w:rsidR="000C5A13" w:rsidRDefault="000C5A13" w:rsidP="000C5A13">
            <w:pPr>
              <w:pStyle w:val="Header"/>
              <w:tabs>
                <w:tab w:val="clear" w:pos="4320"/>
                <w:tab w:val="clear" w:pos="8640"/>
              </w:tabs>
              <w:jc w:val="center"/>
              <w:rPr>
                <w:rFonts w:cs="Arial"/>
              </w:rPr>
            </w:pPr>
            <w:r>
              <w:rPr>
                <w:rFonts w:cs="Arial"/>
              </w:rPr>
              <w:t>Year</w:t>
            </w:r>
          </w:p>
        </w:tc>
        <w:tc>
          <w:tcPr>
            <w:tcW w:w="3124" w:type="dxa"/>
          </w:tcPr>
          <w:p w14:paraId="760022BA" w14:textId="77777777" w:rsidR="000C5A13" w:rsidRDefault="000C5A13" w:rsidP="000C5A13">
            <w:pPr>
              <w:pStyle w:val="Header"/>
              <w:tabs>
                <w:tab w:val="clear" w:pos="4320"/>
                <w:tab w:val="clear" w:pos="8640"/>
              </w:tabs>
              <w:jc w:val="center"/>
              <w:rPr>
                <w:rFonts w:cs="Arial"/>
              </w:rPr>
            </w:pPr>
            <w:r>
              <w:rPr>
                <w:rFonts w:cs="Arial"/>
              </w:rPr>
              <w:t>Cash Flow</w:t>
            </w:r>
          </w:p>
        </w:tc>
        <w:tc>
          <w:tcPr>
            <w:tcW w:w="3126" w:type="dxa"/>
          </w:tcPr>
          <w:p w14:paraId="7E413A98" w14:textId="77777777" w:rsidR="000C5A13" w:rsidRDefault="000C5A13" w:rsidP="000C5A13">
            <w:pPr>
              <w:pStyle w:val="Header"/>
              <w:tabs>
                <w:tab w:val="clear" w:pos="4320"/>
                <w:tab w:val="clear" w:pos="8640"/>
              </w:tabs>
              <w:jc w:val="center"/>
              <w:rPr>
                <w:rFonts w:cs="Arial"/>
              </w:rPr>
            </w:pPr>
            <w:r>
              <w:rPr>
                <w:rFonts w:cs="Arial"/>
              </w:rPr>
              <w:t>Cumulative Cash Flow</w:t>
            </w:r>
          </w:p>
        </w:tc>
      </w:tr>
      <w:tr w:rsidR="00CC381B" w14:paraId="5DB2B838" w14:textId="77777777" w:rsidTr="00CC381B">
        <w:tc>
          <w:tcPr>
            <w:tcW w:w="3100" w:type="dxa"/>
          </w:tcPr>
          <w:p w14:paraId="547863F3" w14:textId="77777777" w:rsidR="00CC381B" w:rsidRPr="00E14890" w:rsidRDefault="00CC381B" w:rsidP="00CC381B">
            <w:pPr>
              <w:pStyle w:val="Header"/>
              <w:tabs>
                <w:tab w:val="clear" w:pos="4320"/>
                <w:tab w:val="clear" w:pos="8640"/>
              </w:tabs>
              <w:jc w:val="center"/>
              <w:rPr>
                <w:rFonts w:cs="Arial"/>
              </w:rPr>
            </w:pPr>
            <w:r w:rsidRPr="00E14890">
              <w:rPr>
                <w:rFonts w:cs="Arial"/>
              </w:rPr>
              <w:t>0</w:t>
            </w:r>
          </w:p>
        </w:tc>
        <w:tc>
          <w:tcPr>
            <w:tcW w:w="3124" w:type="dxa"/>
            <w:vAlign w:val="center"/>
          </w:tcPr>
          <w:p w14:paraId="299F325A" w14:textId="6BB007F6" w:rsidR="00CC381B" w:rsidRPr="00E14890" w:rsidRDefault="00CC381B" w:rsidP="00CC381B">
            <w:pPr>
              <w:pStyle w:val="Header"/>
              <w:tabs>
                <w:tab w:val="clear" w:pos="4320"/>
                <w:tab w:val="clear" w:pos="8640"/>
              </w:tabs>
              <w:jc w:val="center"/>
              <w:rPr>
                <w:rFonts w:cs="Arial"/>
              </w:rPr>
            </w:pPr>
            <w:r>
              <w:rPr>
                <w:rFonts w:cs="Arial"/>
                <w:color w:val="FF0000"/>
              </w:rPr>
              <w:t>($317,880)</w:t>
            </w:r>
          </w:p>
        </w:tc>
        <w:tc>
          <w:tcPr>
            <w:tcW w:w="3126" w:type="dxa"/>
            <w:vAlign w:val="center"/>
          </w:tcPr>
          <w:p w14:paraId="5B5B6EB3" w14:textId="1C49736A" w:rsidR="00CC381B" w:rsidRPr="00E14890" w:rsidRDefault="00CC381B" w:rsidP="00CC381B">
            <w:pPr>
              <w:pStyle w:val="Header"/>
              <w:tabs>
                <w:tab w:val="clear" w:pos="4320"/>
                <w:tab w:val="clear" w:pos="8640"/>
              </w:tabs>
              <w:jc w:val="center"/>
              <w:rPr>
                <w:rFonts w:cs="Arial"/>
              </w:rPr>
            </w:pPr>
            <w:r>
              <w:rPr>
                <w:rFonts w:cs="Arial"/>
                <w:color w:val="FF0000"/>
              </w:rPr>
              <w:t>($317,880)</w:t>
            </w:r>
          </w:p>
        </w:tc>
      </w:tr>
      <w:tr w:rsidR="00CC381B" w14:paraId="7A825C1A" w14:textId="77777777" w:rsidTr="00CC381B">
        <w:tc>
          <w:tcPr>
            <w:tcW w:w="3100" w:type="dxa"/>
          </w:tcPr>
          <w:p w14:paraId="2C522B77" w14:textId="77777777" w:rsidR="00CC381B" w:rsidRPr="00E14890" w:rsidRDefault="00CC381B" w:rsidP="00CC381B">
            <w:pPr>
              <w:pStyle w:val="Header"/>
              <w:tabs>
                <w:tab w:val="clear" w:pos="4320"/>
                <w:tab w:val="clear" w:pos="8640"/>
              </w:tabs>
              <w:jc w:val="center"/>
              <w:rPr>
                <w:rFonts w:cs="Arial"/>
              </w:rPr>
            </w:pPr>
            <w:r w:rsidRPr="00E14890">
              <w:rPr>
                <w:rFonts w:cs="Arial"/>
              </w:rPr>
              <w:t>1</w:t>
            </w:r>
          </w:p>
        </w:tc>
        <w:tc>
          <w:tcPr>
            <w:tcW w:w="3124" w:type="dxa"/>
            <w:vAlign w:val="center"/>
          </w:tcPr>
          <w:p w14:paraId="675A3604" w14:textId="722D7FB8" w:rsidR="00CC381B" w:rsidRPr="00E14890" w:rsidRDefault="00CC381B" w:rsidP="00CC381B">
            <w:pPr>
              <w:pStyle w:val="Header"/>
              <w:tabs>
                <w:tab w:val="clear" w:pos="4320"/>
                <w:tab w:val="clear" w:pos="8640"/>
              </w:tabs>
              <w:jc w:val="center"/>
              <w:rPr>
                <w:rFonts w:cs="Arial"/>
              </w:rPr>
            </w:pPr>
            <w:r>
              <w:rPr>
                <w:rFonts w:cs="Arial"/>
                <w:color w:val="000000"/>
              </w:rPr>
              <w:t xml:space="preserve">$46,920 </w:t>
            </w:r>
          </w:p>
        </w:tc>
        <w:tc>
          <w:tcPr>
            <w:tcW w:w="3126" w:type="dxa"/>
            <w:vAlign w:val="center"/>
          </w:tcPr>
          <w:p w14:paraId="0AD723BA" w14:textId="7D0E1109" w:rsidR="00CC381B" w:rsidRPr="00E14890" w:rsidRDefault="00CC381B" w:rsidP="00CC381B">
            <w:pPr>
              <w:pStyle w:val="Header"/>
              <w:tabs>
                <w:tab w:val="clear" w:pos="4320"/>
                <w:tab w:val="clear" w:pos="8640"/>
              </w:tabs>
              <w:jc w:val="center"/>
              <w:rPr>
                <w:rFonts w:cs="Arial"/>
              </w:rPr>
            </w:pPr>
            <w:r>
              <w:rPr>
                <w:rFonts w:cs="Arial"/>
                <w:color w:val="FF0000"/>
              </w:rPr>
              <w:t>($270,960)</w:t>
            </w:r>
          </w:p>
        </w:tc>
      </w:tr>
      <w:tr w:rsidR="00CC381B" w14:paraId="23B1A030" w14:textId="77777777" w:rsidTr="00CC381B">
        <w:tc>
          <w:tcPr>
            <w:tcW w:w="3100" w:type="dxa"/>
          </w:tcPr>
          <w:p w14:paraId="761440DC" w14:textId="77777777" w:rsidR="00CC381B" w:rsidRPr="00E14890" w:rsidRDefault="00CC381B" w:rsidP="00CC381B">
            <w:pPr>
              <w:pStyle w:val="Header"/>
              <w:tabs>
                <w:tab w:val="clear" w:pos="4320"/>
                <w:tab w:val="clear" w:pos="8640"/>
              </w:tabs>
              <w:jc w:val="center"/>
              <w:rPr>
                <w:rFonts w:cs="Arial"/>
              </w:rPr>
            </w:pPr>
            <w:r w:rsidRPr="00E14890">
              <w:rPr>
                <w:rFonts w:cs="Arial"/>
              </w:rPr>
              <w:t>2</w:t>
            </w:r>
          </w:p>
        </w:tc>
        <w:tc>
          <w:tcPr>
            <w:tcW w:w="3124" w:type="dxa"/>
            <w:vAlign w:val="center"/>
          </w:tcPr>
          <w:p w14:paraId="02093C06" w14:textId="5151CB38" w:rsidR="00CC381B" w:rsidRPr="00E14890" w:rsidRDefault="00CC381B" w:rsidP="00CC381B">
            <w:pPr>
              <w:pStyle w:val="Header"/>
              <w:tabs>
                <w:tab w:val="clear" w:pos="4320"/>
                <w:tab w:val="clear" w:pos="8640"/>
              </w:tabs>
              <w:jc w:val="center"/>
              <w:rPr>
                <w:rFonts w:cs="Arial"/>
              </w:rPr>
            </w:pPr>
            <w:r>
              <w:rPr>
                <w:rFonts w:cs="Arial"/>
                <w:color w:val="000000"/>
              </w:rPr>
              <w:t xml:space="preserve">$68,166 </w:t>
            </w:r>
          </w:p>
        </w:tc>
        <w:tc>
          <w:tcPr>
            <w:tcW w:w="3126" w:type="dxa"/>
            <w:vAlign w:val="center"/>
          </w:tcPr>
          <w:p w14:paraId="37506EA6" w14:textId="4B3358F1" w:rsidR="00CC381B" w:rsidRPr="00E14890" w:rsidRDefault="00CC381B" w:rsidP="00CC381B">
            <w:pPr>
              <w:pStyle w:val="Header"/>
              <w:tabs>
                <w:tab w:val="clear" w:pos="4320"/>
                <w:tab w:val="clear" w:pos="8640"/>
              </w:tabs>
              <w:jc w:val="center"/>
              <w:rPr>
                <w:rFonts w:cs="Arial"/>
              </w:rPr>
            </w:pPr>
            <w:r>
              <w:rPr>
                <w:rFonts w:cs="Arial"/>
                <w:color w:val="FF0000"/>
              </w:rPr>
              <w:t>($202,794)</w:t>
            </w:r>
          </w:p>
        </w:tc>
      </w:tr>
      <w:tr w:rsidR="00CC381B" w14:paraId="4217DC81" w14:textId="77777777" w:rsidTr="00CC381B">
        <w:tc>
          <w:tcPr>
            <w:tcW w:w="3100" w:type="dxa"/>
          </w:tcPr>
          <w:p w14:paraId="705B1FA9" w14:textId="77777777" w:rsidR="00CC381B" w:rsidRPr="00E14890" w:rsidRDefault="00CC381B" w:rsidP="00CC381B">
            <w:pPr>
              <w:pStyle w:val="Header"/>
              <w:tabs>
                <w:tab w:val="clear" w:pos="4320"/>
                <w:tab w:val="clear" w:pos="8640"/>
              </w:tabs>
              <w:jc w:val="center"/>
              <w:rPr>
                <w:rFonts w:cs="Arial"/>
              </w:rPr>
            </w:pPr>
            <w:r w:rsidRPr="00E14890">
              <w:rPr>
                <w:rFonts w:cs="Arial"/>
              </w:rPr>
              <w:t>3</w:t>
            </w:r>
          </w:p>
        </w:tc>
        <w:tc>
          <w:tcPr>
            <w:tcW w:w="3124" w:type="dxa"/>
            <w:vAlign w:val="center"/>
          </w:tcPr>
          <w:p w14:paraId="72DA8882" w14:textId="5DDFE997" w:rsidR="00CC381B" w:rsidRPr="00E14890" w:rsidRDefault="00CC381B" w:rsidP="00CC381B">
            <w:pPr>
              <w:pStyle w:val="Header"/>
              <w:tabs>
                <w:tab w:val="clear" w:pos="4320"/>
                <w:tab w:val="clear" w:pos="8640"/>
              </w:tabs>
              <w:jc w:val="center"/>
              <w:rPr>
                <w:rFonts w:cs="Arial"/>
              </w:rPr>
            </w:pPr>
            <w:r>
              <w:rPr>
                <w:rFonts w:cs="Arial"/>
                <w:color w:val="000000"/>
              </w:rPr>
              <w:t xml:space="preserve">$93,404 </w:t>
            </w:r>
          </w:p>
        </w:tc>
        <w:tc>
          <w:tcPr>
            <w:tcW w:w="3126" w:type="dxa"/>
            <w:vAlign w:val="center"/>
          </w:tcPr>
          <w:p w14:paraId="44B3D5A4" w14:textId="191BBD42" w:rsidR="00CC381B" w:rsidRPr="00E14890" w:rsidRDefault="00CC381B" w:rsidP="00CC381B">
            <w:pPr>
              <w:pStyle w:val="Header"/>
              <w:tabs>
                <w:tab w:val="clear" w:pos="4320"/>
                <w:tab w:val="clear" w:pos="8640"/>
              </w:tabs>
              <w:jc w:val="center"/>
              <w:rPr>
                <w:rFonts w:cs="Arial"/>
              </w:rPr>
            </w:pPr>
            <w:r>
              <w:rPr>
                <w:rFonts w:cs="Arial"/>
                <w:color w:val="FF0000"/>
              </w:rPr>
              <w:t>($109,390)</w:t>
            </w:r>
          </w:p>
        </w:tc>
      </w:tr>
      <w:tr w:rsidR="00CC381B" w14:paraId="12CF0A6D" w14:textId="77777777" w:rsidTr="00CC381B">
        <w:tc>
          <w:tcPr>
            <w:tcW w:w="3100" w:type="dxa"/>
          </w:tcPr>
          <w:p w14:paraId="2873183B" w14:textId="77777777" w:rsidR="00CC381B" w:rsidRPr="00E14890" w:rsidRDefault="00CC381B" w:rsidP="00CC381B">
            <w:pPr>
              <w:pStyle w:val="Header"/>
              <w:tabs>
                <w:tab w:val="clear" w:pos="4320"/>
                <w:tab w:val="clear" w:pos="8640"/>
              </w:tabs>
              <w:jc w:val="center"/>
              <w:rPr>
                <w:rFonts w:cs="Arial"/>
              </w:rPr>
            </w:pPr>
            <w:r w:rsidRPr="00E14890">
              <w:rPr>
                <w:rFonts w:cs="Arial"/>
              </w:rPr>
              <w:t>4</w:t>
            </w:r>
          </w:p>
        </w:tc>
        <w:tc>
          <w:tcPr>
            <w:tcW w:w="3124" w:type="dxa"/>
            <w:vAlign w:val="center"/>
          </w:tcPr>
          <w:p w14:paraId="62756154" w14:textId="012A3286" w:rsidR="00CC381B" w:rsidRPr="00E14890" w:rsidRDefault="00CC381B" w:rsidP="00CC381B">
            <w:pPr>
              <w:pStyle w:val="Header"/>
              <w:tabs>
                <w:tab w:val="clear" w:pos="4320"/>
                <w:tab w:val="clear" w:pos="8640"/>
              </w:tabs>
              <w:jc w:val="center"/>
              <w:rPr>
                <w:rFonts w:cs="Arial"/>
              </w:rPr>
            </w:pPr>
            <w:r>
              <w:rPr>
                <w:rFonts w:cs="Arial"/>
                <w:color w:val="000000"/>
              </w:rPr>
              <w:t xml:space="preserve">$123,287 </w:t>
            </w:r>
          </w:p>
        </w:tc>
        <w:tc>
          <w:tcPr>
            <w:tcW w:w="3126" w:type="dxa"/>
            <w:vAlign w:val="center"/>
          </w:tcPr>
          <w:p w14:paraId="4C23C1CF" w14:textId="32383FE5" w:rsidR="00CC381B" w:rsidRPr="00E14890" w:rsidRDefault="00CC381B" w:rsidP="00CC381B">
            <w:pPr>
              <w:pStyle w:val="Header"/>
              <w:tabs>
                <w:tab w:val="clear" w:pos="4320"/>
                <w:tab w:val="clear" w:pos="8640"/>
              </w:tabs>
              <w:jc w:val="center"/>
              <w:rPr>
                <w:rFonts w:cs="Arial"/>
              </w:rPr>
            </w:pPr>
            <w:r>
              <w:rPr>
                <w:rFonts w:cs="Arial"/>
              </w:rPr>
              <w:t xml:space="preserve">$13,897 </w:t>
            </w:r>
          </w:p>
        </w:tc>
      </w:tr>
      <w:tr w:rsidR="00CC381B" w14:paraId="31999FB6" w14:textId="77777777" w:rsidTr="00CC381B">
        <w:tc>
          <w:tcPr>
            <w:tcW w:w="3100" w:type="dxa"/>
          </w:tcPr>
          <w:p w14:paraId="2BCFC47A" w14:textId="77777777" w:rsidR="00CC381B" w:rsidRPr="00E14890" w:rsidRDefault="00CC381B" w:rsidP="00CC381B">
            <w:pPr>
              <w:pStyle w:val="Header"/>
              <w:tabs>
                <w:tab w:val="clear" w:pos="4320"/>
                <w:tab w:val="clear" w:pos="8640"/>
              </w:tabs>
              <w:jc w:val="center"/>
              <w:rPr>
                <w:rFonts w:cs="Arial"/>
              </w:rPr>
            </w:pPr>
            <w:r w:rsidRPr="00E14890">
              <w:rPr>
                <w:rFonts w:cs="Arial"/>
              </w:rPr>
              <w:t>5</w:t>
            </w:r>
          </w:p>
        </w:tc>
        <w:tc>
          <w:tcPr>
            <w:tcW w:w="3124" w:type="dxa"/>
            <w:vAlign w:val="center"/>
          </w:tcPr>
          <w:p w14:paraId="5CB13DBB" w14:textId="715339AC" w:rsidR="00CC381B" w:rsidRPr="00E14890" w:rsidRDefault="00CC381B" w:rsidP="00CC381B">
            <w:pPr>
              <w:pStyle w:val="Header"/>
              <w:tabs>
                <w:tab w:val="clear" w:pos="4320"/>
                <w:tab w:val="clear" w:pos="8640"/>
              </w:tabs>
              <w:jc w:val="center"/>
              <w:rPr>
                <w:rFonts w:cs="Arial"/>
              </w:rPr>
            </w:pPr>
            <w:r>
              <w:rPr>
                <w:rFonts w:cs="Arial"/>
                <w:color w:val="000000"/>
              </w:rPr>
              <w:t xml:space="preserve">$158,573 </w:t>
            </w:r>
          </w:p>
        </w:tc>
        <w:tc>
          <w:tcPr>
            <w:tcW w:w="3126" w:type="dxa"/>
            <w:vAlign w:val="center"/>
          </w:tcPr>
          <w:p w14:paraId="169A1EBB" w14:textId="27A9F32D" w:rsidR="00CC381B" w:rsidRPr="00E14890" w:rsidRDefault="00CC381B" w:rsidP="00CC381B">
            <w:pPr>
              <w:pStyle w:val="Header"/>
              <w:tabs>
                <w:tab w:val="clear" w:pos="4320"/>
                <w:tab w:val="clear" w:pos="8640"/>
              </w:tabs>
              <w:jc w:val="center"/>
              <w:rPr>
                <w:rFonts w:cs="Arial"/>
              </w:rPr>
            </w:pPr>
            <w:r>
              <w:rPr>
                <w:rFonts w:cs="Arial"/>
              </w:rPr>
              <w:t xml:space="preserve">$172,470 </w:t>
            </w:r>
          </w:p>
        </w:tc>
      </w:tr>
    </w:tbl>
    <w:p w14:paraId="6D90D04C" w14:textId="77777777" w:rsidR="0085489B" w:rsidRDefault="0085489B" w:rsidP="002E05BB">
      <w:pPr>
        <w:pStyle w:val="Header"/>
        <w:tabs>
          <w:tab w:val="clear" w:pos="4320"/>
          <w:tab w:val="clear" w:pos="8640"/>
        </w:tabs>
        <w:rPr>
          <w:rFonts w:cs="Arial"/>
        </w:rPr>
      </w:pPr>
    </w:p>
    <w:p w14:paraId="2F73A18A" w14:textId="195F7C48" w:rsidR="000C5A13" w:rsidRDefault="000C5A13" w:rsidP="000C5A13">
      <w:pPr>
        <w:pStyle w:val="Header"/>
        <w:tabs>
          <w:tab w:val="clear" w:pos="4320"/>
          <w:tab w:val="clear" w:pos="8640"/>
        </w:tabs>
        <w:jc w:val="center"/>
        <w:rPr>
          <w:rFonts w:cs="Arial"/>
        </w:rPr>
      </w:pPr>
      <w:r>
        <w:rPr>
          <w:rFonts w:cs="Arial"/>
        </w:rPr>
        <w:t xml:space="preserve">= </w:t>
      </w:r>
      <w:r w:rsidR="00E14890">
        <w:rPr>
          <w:rFonts w:cs="Arial"/>
        </w:rPr>
        <w:t>4</w:t>
      </w:r>
      <w:r>
        <w:rPr>
          <w:rFonts w:cs="Arial"/>
        </w:rPr>
        <w:t xml:space="preserve"> + (|-$</w:t>
      </w:r>
      <w:r w:rsidR="00CC381B">
        <w:rPr>
          <w:rFonts w:cs="Arial"/>
        </w:rPr>
        <w:t>109</w:t>
      </w:r>
      <w:r w:rsidR="00E14890">
        <w:rPr>
          <w:rFonts w:cs="Arial"/>
        </w:rPr>
        <w:t>,</w:t>
      </w:r>
      <w:r w:rsidR="00CC381B">
        <w:rPr>
          <w:rFonts w:cs="Arial"/>
        </w:rPr>
        <w:t>390</w:t>
      </w:r>
      <w:r>
        <w:rPr>
          <w:rFonts w:cs="Arial"/>
        </w:rPr>
        <w:t>| / $</w:t>
      </w:r>
      <w:r w:rsidR="00CC381B">
        <w:rPr>
          <w:rFonts w:cs="Arial"/>
        </w:rPr>
        <w:t>123</w:t>
      </w:r>
      <w:r>
        <w:rPr>
          <w:rFonts w:cs="Arial"/>
        </w:rPr>
        <w:t>,</w:t>
      </w:r>
      <w:r w:rsidR="00CC381B">
        <w:rPr>
          <w:rFonts w:cs="Arial"/>
        </w:rPr>
        <w:t>287</w:t>
      </w:r>
      <w:r>
        <w:rPr>
          <w:rFonts w:cs="Arial"/>
        </w:rPr>
        <w:t>)</w:t>
      </w:r>
    </w:p>
    <w:p w14:paraId="0208EFC5" w14:textId="77777777" w:rsidR="000C5A13" w:rsidRDefault="000C5A13" w:rsidP="000C5A13">
      <w:pPr>
        <w:pStyle w:val="Header"/>
        <w:tabs>
          <w:tab w:val="clear" w:pos="4320"/>
          <w:tab w:val="clear" w:pos="8640"/>
        </w:tabs>
        <w:jc w:val="center"/>
        <w:rPr>
          <w:rFonts w:cs="Arial"/>
        </w:rPr>
      </w:pPr>
    </w:p>
    <w:p w14:paraId="2BE31ABB" w14:textId="4C866FEE" w:rsidR="000C5A13" w:rsidRDefault="000C5A13" w:rsidP="000C5A13">
      <w:pPr>
        <w:pStyle w:val="Header"/>
        <w:tabs>
          <w:tab w:val="clear" w:pos="4320"/>
          <w:tab w:val="clear" w:pos="8640"/>
        </w:tabs>
        <w:jc w:val="center"/>
        <w:rPr>
          <w:rFonts w:cs="Arial"/>
        </w:rPr>
      </w:pPr>
      <w:r>
        <w:rPr>
          <w:rFonts w:cs="Arial"/>
        </w:rPr>
        <w:t xml:space="preserve">= </w:t>
      </w:r>
      <w:r w:rsidR="00E14890">
        <w:rPr>
          <w:rFonts w:cs="Arial"/>
        </w:rPr>
        <w:t>4</w:t>
      </w:r>
      <w:r>
        <w:rPr>
          <w:rFonts w:cs="Arial"/>
        </w:rPr>
        <w:t xml:space="preserve"> + 0.</w:t>
      </w:r>
      <w:r w:rsidR="00CC381B">
        <w:rPr>
          <w:rFonts w:cs="Arial"/>
        </w:rPr>
        <w:t>8873</w:t>
      </w:r>
    </w:p>
    <w:p w14:paraId="42853A53" w14:textId="77777777" w:rsidR="000C5A13" w:rsidRDefault="000C5A13" w:rsidP="000C5A13">
      <w:pPr>
        <w:pStyle w:val="Header"/>
        <w:tabs>
          <w:tab w:val="clear" w:pos="4320"/>
          <w:tab w:val="clear" w:pos="8640"/>
        </w:tabs>
        <w:jc w:val="center"/>
        <w:rPr>
          <w:rFonts w:cs="Arial"/>
        </w:rPr>
      </w:pPr>
    </w:p>
    <w:p w14:paraId="0C1B4A16" w14:textId="66984C15" w:rsidR="000C5A13" w:rsidRPr="008735EA" w:rsidRDefault="000C5A13" w:rsidP="000C5A13">
      <w:pPr>
        <w:pStyle w:val="Header"/>
        <w:tabs>
          <w:tab w:val="clear" w:pos="4320"/>
          <w:tab w:val="clear" w:pos="8640"/>
        </w:tabs>
        <w:jc w:val="center"/>
        <w:rPr>
          <w:rFonts w:cs="Arial"/>
          <w:color w:val="00B050"/>
        </w:rPr>
      </w:pPr>
      <w:r w:rsidRPr="008735EA">
        <w:rPr>
          <w:rFonts w:cs="Arial"/>
          <w:color w:val="00B050"/>
        </w:rPr>
        <w:t xml:space="preserve">= </w:t>
      </w:r>
      <w:r w:rsidR="00E14890" w:rsidRPr="008735EA">
        <w:rPr>
          <w:rFonts w:cs="Arial"/>
          <w:b/>
          <w:color w:val="00B050"/>
        </w:rPr>
        <w:t>4</w:t>
      </w:r>
      <w:r w:rsidRPr="008735EA">
        <w:rPr>
          <w:rFonts w:cs="Arial"/>
          <w:b/>
          <w:color w:val="00B050"/>
        </w:rPr>
        <w:t>.</w:t>
      </w:r>
      <w:r w:rsidR="00CC381B" w:rsidRPr="008735EA">
        <w:rPr>
          <w:rFonts w:cs="Arial"/>
          <w:b/>
          <w:color w:val="00B050"/>
        </w:rPr>
        <w:t>8873</w:t>
      </w:r>
      <w:r w:rsidRPr="008735EA">
        <w:rPr>
          <w:rFonts w:cs="Arial"/>
          <w:b/>
          <w:color w:val="00B050"/>
        </w:rPr>
        <w:t xml:space="preserve"> years</w:t>
      </w:r>
    </w:p>
    <w:p w14:paraId="14D58980" w14:textId="77777777" w:rsidR="005B2140" w:rsidRDefault="005B2140" w:rsidP="005B2140">
      <w:pPr>
        <w:pStyle w:val="Header"/>
        <w:tabs>
          <w:tab w:val="clear" w:pos="4320"/>
          <w:tab w:val="clear" w:pos="8640"/>
        </w:tabs>
        <w:rPr>
          <w:rFonts w:cs="Arial"/>
          <w:b/>
        </w:rPr>
      </w:pPr>
    </w:p>
    <w:p w14:paraId="5F08B416" w14:textId="0D04A1F8" w:rsidR="005B2140" w:rsidRDefault="005B2140" w:rsidP="005B2140">
      <w:pPr>
        <w:pStyle w:val="Header"/>
        <w:tabs>
          <w:tab w:val="clear" w:pos="4320"/>
          <w:tab w:val="clear" w:pos="8640"/>
        </w:tabs>
        <w:rPr>
          <w:rFonts w:cs="Arial"/>
          <w:b/>
        </w:rPr>
      </w:pPr>
      <w:r>
        <w:rPr>
          <w:rFonts w:cs="Arial"/>
          <w:b/>
        </w:rPr>
        <w:t xml:space="preserve">Feedback to Students: </w:t>
      </w:r>
    </w:p>
    <w:p w14:paraId="05C67061" w14:textId="77777777" w:rsidR="005B2140" w:rsidRDefault="005B2140" w:rsidP="005B2140">
      <w:pPr>
        <w:pStyle w:val="Header"/>
        <w:tabs>
          <w:tab w:val="clear" w:pos="4320"/>
          <w:tab w:val="clear" w:pos="8640"/>
        </w:tabs>
        <w:rPr>
          <w:rFonts w:cs="Arial"/>
          <w:b/>
        </w:rPr>
      </w:pPr>
    </w:p>
    <w:p w14:paraId="29E36CE6" w14:textId="77777777" w:rsidR="005B2140" w:rsidRPr="005B2140" w:rsidRDefault="005B2140" w:rsidP="005B2140">
      <w:pPr>
        <w:pStyle w:val="Header"/>
        <w:tabs>
          <w:tab w:val="clear" w:pos="4320"/>
          <w:tab w:val="clear" w:pos="8640"/>
        </w:tabs>
        <w:rPr>
          <w:rFonts w:cs="Arial"/>
          <w:b/>
          <w:color w:val="00B050"/>
        </w:rPr>
      </w:pPr>
      <w:r w:rsidRPr="005B2140">
        <w:rPr>
          <w:rFonts w:cs="Arial"/>
          <w:b/>
          <w:color w:val="00B050"/>
        </w:rPr>
        <w:t xml:space="preserve">Based on the break-even analysis, </w:t>
      </w:r>
      <w:r w:rsidRPr="005B2140">
        <w:rPr>
          <w:rFonts w:cs="Arial"/>
          <w:b/>
          <w:color w:val="00B050"/>
          <w:spacing w:val="3"/>
          <w:shd w:val="clear" w:color="auto" w:fill="FFFFFF"/>
        </w:rPr>
        <w:t>MHCBS</w:t>
      </w:r>
      <w:r w:rsidRPr="005B2140">
        <w:rPr>
          <w:rFonts w:cs="Arial"/>
          <w:b/>
          <w:color w:val="00B050"/>
        </w:rPr>
        <w:t xml:space="preserve"> would need to serve 72 clients a month in order to break even in their investment at the senior multipurpose center. Knowing there are already 120 interested seniors at this time should provide confidence to the CEO that this could be a wise investment. </w:t>
      </w:r>
    </w:p>
    <w:p w14:paraId="61D45590" w14:textId="77777777" w:rsidR="005B2140" w:rsidRPr="005B2140" w:rsidRDefault="005B2140" w:rsidP="002E05BB">
      <w:pPr>
        <w:pStyle w:val="Header"/>
        <w:tabs>
          <w:tab w:val="clear" w:pos="4320"/>
          <w:tab w:val="clear" w:pos="8640"/>
        </w:tabs>
        <w:rPr>
          <w:rFonts w:cs="Arial"/>
          <w:b/>
          <w:color w:val="00B050"/>
        </w:rPr>
      </w:pPr>
    </w:p>
    <w:p w14:paraId="2EFF7170" w14:textId="1FECE2F4" w:rsidR="000C5A13" w:rsidRPr="005B2140" w:rsidRDefault="000C5A13" w:rsidP="002E05BB">
      <w:pPr>
        <w:pStyle w:val="Header"/>
        <w:tabs>
          <w:tab w:val="clear" w:pos="4320"/>
          <w:tab w:val="clear" w:pos="8640"/>
        </w:tabs>
        <w:rPr>
          <w:rFonts w:cs="Arial"/>
          <w:b/>
          <w:color w:val="00B050"/>
        </w:rPr>
      </w:pPr>
      <w:r w:rsidRPr="005B2140">
        <w:rPr>
          <w:rFonts w:cs="Arial"/>
          <w:b/>
          <w:color w:val="00B050"/>
        </w:rPr>
        <w:t xml:space="preserve">Based on the payback period calculation, it will take </w:t>
      </w:r>
      <w:r w:rsidR="00CC381B" w:rsidRPr="005B2140">
        <w:rPr>
          <w:rFonts w:cs="Arial"/>
          <w:b/>
          <w:color w:val="00B050"/>
          <w:spacing w:val="3"/>
          <w:shd w:val="clear" w:color="auto" w:fill="FFFFFF"/>
        </w:rPr>
        <w:t>MHCBS</w:t>
      </w:r>
      <w:r w:rsidR="00CC381B" w:rsidRPr="005B2140">
        <w:rPr>
          <w:rFonts w:cs="Arial"/>
          <w:b/>
          <w:color w:val="00B050"/>
        </w:rPr>
        <w:t xml:space="preserve"> </w:t>
      </w:r>
      <w:r w:rsidR="00E14890" w:rsidRPr="005B2140">
        <w:rPr>
          <w:rFonts w:cs="Arial"/>
          <w:b/>
          <w:color w:val="00B050"/>
        </w:rPr>
        <w:t>4</w:t>
      </w:r>
      <w:r w:rsidRPr="005B2140">
        <w:rPr>
          <w:rFonts w:cs="Arial"/>
          <w:b/>
          <w:color w:val="00B050"/>
        </w:rPr>
        <w:t>.</w:t>
      </w:r>
      <w:r w:rsidR="00CC381B" w:rsidRPr="005B2140">
        <w:rPr>
          <w:rFonts w:cs="Arial"/>
          <w:b/>
          <w:color w:val="00B050"/>
        </w:rPr>
        <w:t>9</w:t>
      </w:r>
      <w:r w:rsidRPr="005B2140">
        <w:rPr>
          <w:rFonts w:cs="Arial"/>
          <w:b/>
          <w:color w:val="00B050"/>
        </w:rPr>
        <w:t xml:space="preserve"> years to recover the cost of its investment in a senior multipurpose center.</w:t>
      </w:r>
      <w:r w:rsidR="005B2140" w:rsidRPr="005B2140">
        <w:rPr>
          <w:rFonts w:cs="Arial"/>
          <w:b/>
          <w:color w:val="00B050"/>
        </w:rPr>
        <w:t xml:space="preserve"> This appears to meet the </w:t>
      </w:r>
      <w:proofErr w:type="gramStart"/>
      <w:r w:rsidR="005B2140" w:rsidRPr="005B2140">
        <w:rPr>
          <w:rFonts w:cs="Arial"/>
          <w:b/>
          <w:color w:val="00B050"/>
        </w:rPr>
        <w:t>5 year</w:t>
      </w:r>
      <w:proofErr w:type="gramEnd"/>
      <w:r w:rsidR="005B2140" w:rsidRPr="005B2140">
        <w:rPr>
          <w:rFonts w:cs="Arial"/>
          <w:b/>
          <w:color w:val="00B050"/>
        </w:rPr>
        <w:t xml:space="preserve"> Board of Director’s time threshold.</w:t>
      </w:r>
    </w:p>
    <w:p w14:paraId="51263DF6" w14:textId="4323D438" w:rsidR="009475E8" w:rsidRPr="005B2140" w:rsidRDefault="009475E8" w:rsidP="002E05BB">
      <w:pPr>
        <w:pStyle w:val="Header"/>
        <w:tabs>
          <w:tab w:val="clear" w:pos="4320"/>
          <w:tab w:val="clear" w:pos="8640"/>
        </w:tabs>
        <w:rPr>
          <w:rFonts w:cs="Arial"/>
          <w:color w:val="00B050"/>
        </w:rPr>
      </w:pPr>
    </w:p>
    <w:p w14:paraId="79C131DE" w14:textId="77777777" w:rsidR="00811D32" w:rsidRPr="005B2140" w:rsidRDefault="008735EA" w:rsidP="002E05BB">
      <w:pPr>
        <w:pStyle w:val="Header"/>
        <w:tabs>
          <w:tab w:val="clear" w:pos="4320"/>
          <w:tab w:val="clear" w:pos="8640"/>
        </w:tabs>
        <w:rPr>
          <w:rFonts w:cs="Arial"/>
          <w:b/>
          <w:color w:val="00B050"/>
          <w:spacing w:val="3"/>
        </w:rPr>
      </w:pPr>
      <w:r w:rsidRPr="005B2140">
        <w:rPr>
          <w:rFonts w:cs="Arial"/>
          <w:b/>
          <w:color w:val="00B050"/>
        </w:rPr>
        <w:t xml:space="preserve">Given the positive preliminary results of the two analyses, </w:t>
      </w:r>
      <w:r w:rsidRPr="005B2140">
        <w:rPr>
          <w:rFonts w:cs="Arial"/>
          <w:b/>
          <w:color w:val="00B050"/>
          <w:spacing w:val="3"/>
          <w:shd w:val="clear" w:color="auto" w:fill="FFFFFF"/>
        </w:rPr>
        <w:t>MHCBS should consider moving forward with further analysis and potential construction of the</w:t>
      </w:r>
      <w:r w:rsidRPr="005B2140">
        <w:rPr>
          <w:rFonts w:cs="Arial"/>
          <w:b/>
          <w:color w:val="00B050"/>
        </w:rPr>
        <w:t xml:space="preserve"> </w:t>
      </w:r>
      <w:r w:rsidRPr="005B2140">
        <w:rPr>
          <w:rFonts w:cs="Arial"/>
          <w:b/>
          <w:color w:val="00B050"/>
          <w:spacing w:val="3"/>
        </w:rPr>
        <w:t>senior multipurpose center.</w:t>
      </w:r>
      <w:r w:rsidR="00811D32" w:rsidRPr="005B2140">
        <w:rPr>
          <w:rFonts w:cs="Arial"/>
          <w:b/>
          <w:color w:val="00B050"/>
          <w:spacing w:val="3"/>
        </w:rPr>
        <w:t xml:space="preserve"> </w:t>
      </w:r>
    </w:p>
    <w:p w14:paraId="1E58D354" w14:textId="77777777" w:rsidR="00811D32" w:rsidRPr="005B2140" w:rsidRDefault="00811D32" w:rsidP="002E05BB">
      <w:pPr>
        <w:pStyle w:val="Header"/>
        <w:tabs>
          <w:tab w:val="clear" w:pos="4320"/>
          <w:tab w:val="clear" w:pos="8640"/>
        </w:tabs>
        <w:rPr>
          <w:rFonts w:cs="Arial"/>
          <w:b/>
          <w:color w:val="00B050"/>
          <w:spacing w:val="3"/>
        </w:rPr>
      </w:pPr>
    </w:p>
    <w:p w14:paraId="6F1CD17F" w14:textId="257C8D19" w:rsidR="009475E8" w:rsidRPr="005B2140" w:rsidRDefault="00811D32" w:rsidP="002E05BB">
      <w:pPr>
        <w:pStyle w:val="Header"/>
        <w:tabs>
          <w:tab w:val="clear" w:pos="4320"/>
          <w:tab w:val="clear" w:pos="8640"/>
        </w:tabs>
        <w:rPr>
          <w:rFonts w:cs="Arial"/>
          <w:b/>
          <w:color w:val="00B050"/>
        </w:rPr>
      </w:pPr>
      <w:r w:rsidRPr="005B2140">
        <w:rPr>
          <w:rFonts w:cs="Arial"/>
          <w:b/>
          <w:color w:val="00B050"/>
          <w:spacing w:val="3"/>
        </w:rPr>
        <w:t xml:space="preserve">Note, further analysis could include a capital budgeting study that evaluates projected future cash flows on a </w:t>
      </w:r>
      <w:r w:rsidR="005B2140" w:rsidRPr="005B2140">
        <w:rPr>
          <w:rFonts w:cs="Arial"/>
          <w:b/>
          <w:color w:val="00B050"/>
          <w:spacing w:val="3"/>
        </w:rPr>
        <w:t xml:space="preserve">net present value (NPV) </w:t>
      </w:r>
      <w:r w:rsidRPr="005B2140">
        <w:rPr>
          <w:rFonts w:cs="Arial"/>
          <w:b/>
          <w:color w:val="00B050"/>
          <w:spacing w:val="3"/>
        </w:rPr>
        <w:t>discounted basis and consideration of the projects internal rate of return</w:t>
      </w:r>
      <w:r w:rsidR="005B2140" w:rsidRPr="005B2140">
        <w:rPr>
          <w:rFonts w:cs="Arial"/>
          <w:b/>
          <w:color w:val="00B050"/>
          <w:spacing w:val="3"/>
        </w:rPr>
        <w:t xml:space="preserve"> (IRR)</w:t>
      </w:r>
      <w:r w:rsidRPr="005B2140">
        <w:rPr>
          <w:rFonts w:cs="Arial"/>
          <w:b/>
          <w:color w:val="00B050"/>
          <w:spacing w:val="3"/>
        </w:rPr>
        <w:t xml:space="preserve"> weighed against the organization’s cost of capital. This is content that you will learn in HCAD 645 or within Chapter </w:t>
      </w:r>
      <w:r w:rsidR="005B2140" w:rsidRPr="005B2140">
        <w:rPr>
          <w:rFonts w:cs="Arial"/>
          <w:b/>
          <w:color w:val="00B050"/>
          <w:spacing w:val="3"/>
        </w:rPr>
        <w:t xml:space="preserve">14 of the suggested textbook - </w:t>
      </w:r>
      <w:proofErr w:type="spellStart"/>
      <w:r w:rsidR="005B2140" w:rsidRPr="005B2140">
        <w:rPr>
          <w:rFonts w:cs="Arial"/>
          <w:b/>
          <w:color w:val="00B050"/>
          <w:shd w:val="clear" w:color="auto" w:fill="FFFFFF"/>
        </w:rPr>
        <w:t>Gapenski</w:t>
      </w:r>
      <w:proofErr w:type="spellEnd"/>
      <w:r w:rsidR="005B2140" w:rsidRPr="005B2140">
        <w:rPr>
          <w:rFonts w:cs="Arial"/>
          <w:b/>
          <w:color w:val="00B050"/>
          <w:shd w:val="clear" w:color="auto" w:fill="FFFFFF"/>
        </w:rPr>
        <w:t xml:space="preserve"> &amp; Reiter’s </w:t>
      </w:r>
      <w:r w:rsidR="005B2140" w:rsidRPr="005B2140">
        <w:rPr>
          <w:rStyle w:val="Emphasis"/>
          <w:rFonts w:cs="Arial"/>
          <w:b/>
          <w:color w:val="00B050"/>
          <w:shd w:val="clear" w:color="auto" w:fill="FFFFFF"/>
        </w:rPr>
        <w:t>Healthcare Finance – An Introduction to Accounting &amp; Financial Management</w:t>
      </w:r>
      <w:r w:rsidR="005B2140" w:rsidRPr="005B2140">
        <w:rPr>
          <w:rFonts w:cs="Arial"/>
          <w:b/>
          <w:color w:val="00B050"/>
          <w:shd w:val="clear" w:color="auto" w:fill="FFFFFF"/>
        </w:rPr>
        <w:t>, 6</w:t>
      </w:r>
      <w:r w:rsidR="005B2140" w:rsidRPr="005B2140">
        <w:rPr>
          <w:rFonts w:cs="Arial"/>
          <w:b/>
          <w:color w:val="00B050"/>
          <w:sz w:val="18"/>
          <w:szCs w:val="18"/>
          <w:shd w:val="clear" w:color="auto" w:fill="FFFFFF"/>
          <w:vertAlign w:val="superscript"/>
        </w:rPr>
        <w:t>th</w:t>
      </w:r>
      <w:r w:rsidR="005B2140" w:rsidRPr="005B2140">
        <w:rPr>
          <w:rFonts w:cs="Arial"/>
          <w:b/>
          <w:color w:val="00B050"/>
          <w:shd w:val="clear" w:color="auto" w:fill="FFFFFF"/>
        </w:rPr>
        <w:t> ed. (ISBN: 978-1-56793-741-1)</w:t>
      </w:r>
      <w:r w:rsidRPr="005B2140">
        <w:rPr>
          <w:rFonts w:cs="Arial"/>
          <w:b/>
          <w:color w:val="00B050"/>
          <w:spacing w:val="3"/>
        </w:rPr>
        <w:t xml:space="preserve"> </w:t>
      </w:r>
    </w:p>
    <w:sectPr w:rsidR="009475E8" w:rsidRPr="005B21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79101" w14:textId="77777777" w:rsidR="00F52E9E" w:rsidRDefault="00F52E9E" w:rsidP="008E183B">
      <w:pPr>
        <w:spacing w:after="0" w:line="240" w:lineRule="auto"/>
      </w:pPr>
      <w:r>
        <w:separator/>
      </w:r>
    </w:p>
  </w:endnote>
  <w:endnote w:type="continuationSeparator" w:id="0">
    <w:p w14:paraId="7897FA1A" w14:textId="77777777" w:rsidR="00F52E9E" w:rsidRDefault="00F52E9E" w:rsidP="008E1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E87CC" w14:textId="77777777" w:rsidR="00F52E9E" w:rsidRDefault="00F52E9E" w:rsidP="008E183B">
      <w:pPr>
        <w:spacing w:after="0" w:line="240" w:lineRule="auto"/>
      </w:pPr>
      <w:r>
        <w:separator/>
      </w:r>
    </w:p>
  </w:footnote>
  <w:footnote w:type="continuationSeparator" w:id="0">
    <w:p w14:paraId="2D312767" w14:textId="77777777" w:rsidR="00F52E9E" w:rsidRDefault="00F52E9E" w:rsidP="008E1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24F39"/>
    <w:multiLevelType w:val="hybridMultilevel"/>
    <w:tmpl w:val="09E0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48266D"/>
    <w:multiLevelType w:val="hybridMultilevel"/>
    <w:tmpl w:val="D8ACD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320909"/>
    <w:multiLevelType w:val="hybridMultilevel"/>
    <w:tmpl w:val="B74A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E95B4D"/>
    <w:multiLevelType w:val="hybridMultilevel"/>
    <w:tmpl w:val="685C1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055839"/>
    <w:multiLevelType w:val="hybridMultilevel"/>
    <w:tmpl w:val="7990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1616E"/>
    <w:multiLevelType w:val="hybridMultilevel"/>
    <w:tmpl w:val="0870F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346E14"/>
    <w:multiLevelType w:val="hybridMultilevel"/>
    <w:tmpl w:val="89A287C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BB"/>
    <w:rsid w:val="0001386A"/>
    <w:rsid w:val="00021457"/>
    <w:rsid w:val="00071AF5"/>
    <w:rsid w:val="0008327D"/>
    <w:rsid w:val="000B59D0"/>
    <w:rsid w:val="000C5A13"/>
    <w:rsid w:val="00101670"/>
    <w:rsid w:val="001222B8"/>
    <w:rsid w:val="00171F04"/>
    <w:rsid w:val="00196236"/>
    <w:rsid w:val="001B043B"/>
    <w:rsid w:val="001E07A5"/>
    <w:rsid w:val="001E3779"/>
    <w:rsid w:val="001E78F8"/>
    <w:rsid w:val="001F0510"/>
    <w:rsid w:val="00242ED7"/>
    <w:rsid w:val="002622EA"/>
    <w:rsid w:val="0026685C"/>
    <w:rsid w:val="00295623"/>
    <w:rsid w:val="002A2635"/>
    <w:rsid w:val="002D1B9E"/>
    <w:rsid w:val="002E05BB"/>
    <w:rsid w:val="0034386F"/>
    <w:rsid w:val="003B0632"/>
    <w:rsid w:val="003B42C9"/>
    <w:rsid w:val="003E6E00"/>
    <w:rsid w:val="00410C75"/>
    <w:rsid w:val="004337D5"/>
    <w:rsid w:val="00440B1E"/>
    <w:rsid w:val="00442F2D"/>
    <w:rsid w:val="0047452A"/>
    <w:rsid w:val="004873DF"/>
    <w:rsid w:val="004B283F"/>
    <w:rsid w:val="004D18AB"/>
    <w:rsid w:val="004D3D13"/>
    <w:rsid w:val="00536ABB"/>
    <w:rsid w:val="005A2F0B"/>
    <w:rsid w:val="005B2140"/>
    <w:rsid w:val="005D41BF"/>
    <w:rsid w:val="005F4AEC"/>
    <w:rsid w:val="006115AC"/>
    <w:rsid w:val="00644533"/>
    <w:rsid w:val="006859B3"/>
    <w:rsid w:val="00690A22"/>
    <w:rsid w:val="00695579"/>
    <w:rsid w:val="006A0243"/>
    <w:rsid w:val="006B556F"/>
    <w:rsid w:val="006C646E"/>
    <w:rsid w:val="006F2362"/>
    <w:rsid w:val="006F28CC"/>
    <w:rsid w:val="007043DC"/>
    <w:rsid w:val="00771640"/>
    <w:rsid w:val="00780B34"/>
    <w:rsid w:val="007E396D"/>
    <w:rsid w:val="0080156D"/>
    <w:rsid w:val="00811D32"/>
    <w:rsid w:val="00847AC2"/>
    <w:rsid w:val="00852F9B"/>
    <w:rsid w:val="0085489B"/>
    <w:rsid w:val="008735EA"/>
    <w:rsid w:val="008E07FF"/>
    <w:rsid w:val="008E183B"/>
    <w:rsid w:val="008E1FCD"/>
    <w:rsid w:val="008F22CC"/>
    <w:rsid w:val="0092280B"/>
    <w:rsid w:val="009475E8"/>
    <w:rsid w:val="00963527"/>
    <w:rsid w:val="009A2741"/>
    <w:rsid w:val="009E5760"/>
    <w:rsid w:val="009F3A79"/>
    <w:rsid w:val="00A03FD6"/>
    <w:rsid w:val="00A359F0"/>
    <w:rsid w:val="00A95D65"/>
    <w:rsid w:val="00AC6FA2"/>
    <w:rsid w:val="00B04E32"/>
    <w:rsid w:val="00B46AD9"/>
    <w:rsid w:val="00B56F9F"/>
    <w:rsid w:val="00B65FD9"/>
    <w:rsid w:val="00B76695"/>
    <w:rsid w:val="00BD4E1E"/>
    <w:rsid w:val="00BF2210"/>
    <w:rsid w:val="00C34435"/>
    <w:rsid w:val="00CC381B"/>
    <w:rsid w:val="00CF4ADB"/>
    <w:rsid w:val="00D6719C"/>
    <w:rsid w:val="00D94315"/>
    <w:rsid w:val="00DE0421"/>
    <w:rsid w:val="00E07400"/>
    <w:rsid w:val="00E14890"/>
    <w:rsid w:val="00E3331D"/>
    <w:rsid w:val="00E55804"/>
    <w:rsid w:val="00E836B5"/>
    <w:rsid w:val="00EC08BE"/>
    <w:rsid w:val="00EC49E6"/>
    <w:rsid w:val="00EE1DF9"/>
    <w:rsid w:val="00EF41F3"/>
    <w:rsid w:val="00F074A9"/>
    <w:rsid w:val="00F31B2A"/>
    <w:rsid w:val="00F3576C"/>
    <w:rsid w:val="00F40A46"/>
    <w:rsid w:val="00F52E9E"/>
    <w:rsid w:val="00FA3438"/>
    <w:rsid w:val="00FD3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8B593"/>
  <w15:docId w15:val="{B8333132-AAC1-4FA7-8F8D-59B2D60B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05BB"/>
    <w:pPr>
      <w:tabs>
        <w:tab w:val="center" w:pos="4320"/>
        <w:tab w:val="right" w:pos="8640"/>
      </w:tabs>
      <w:spacing w:after="0" w:line="240" w:lineRule="auto"/>
    </w:pPr>
    <w:rPr>
      <w:rFonts w:ascii="Arial" w:eastAsia="Times New Roman" w:hAnsi="Arial" w:cs="Tahoma"/>
      <w:sz w:val="24"/>
      <w:szCs w:val="24"/>
      <w:lang w:bidi="en-US"/>
    </w:rPr>
  </w:style>
  <w:style w:type="character" w:customStyle="1" w:styleId="HeaderChar">
    <w:name w:val="Header Char"/>
    <w:basedOn w:val="DefaultParagraphFont"/>
    <w:link w:val="Header"/>
    <w:uiPriority w:val="99"/>
    <w:rsid w:val="002E05BB"/>
    <w:rPr>
      <w:rFonts w:ascii="Arial" w:eastAsia="Times New Roman" w:hAnsi="Arial" w:cs="Tahoma"/>
      <w:sz w:val="24"/>
      <w:szCs w:val="24"/>
      <w:lang w:bidi="en-US"/>
    </w:rPr>
  </w:style>
  <w:style w:type="character" w:styleId="CommentReference">
    <w:name w:val="annotation reference"/>
    <w:basedOn w:val="DefaultParagraphFont"/>
    <w:uiPriority w:val="99"/>
    <w:semiHidden/>
    <w:rsid w:val="002E05BB"/>
    <w:rPr>
      <w:sz w:val="16"/>
      <w:szCs w:val="16"/>
    </w:rPr>
  </w:style>
  <w:style w:type="paragraph" w:styleId="CommentText">
    <w:name w:val="annotation text"/>
    <w:basedOn w:val="Normal"/>
    <w:link w:val="CommentTextChar"/>
    <w:uiPriority w:val="99"/>
    <w:rsid w:val="002E05BB"/>
    <w:pPr>
      <w:spacing w:after="0" w:line="240" w:lineRule="auto"/>
    </w:pPr>
    <w:rPr>
      <w:rFonts w:ascii="Arial" w:eastAsia="Times New Roman" w:hAnsi="Arial" w:cs="Tahoma"/>
      <w:sz w:val="20"/>
      <w:szCs w:val="24"/>
      <w:lang w:bidi="en-US"/>
    </w:rPr>
  </w:style>
  <w:style w:type="character" w:customStyle="1" w:styleId="CommentTextChar">
    <w:name w:val="Comment Text Char"/>
    <w:basedOn w:val="DefaultParagraphFont"/>
    <w:link w:val="CommentText"/>
    <w:uiPriority w:val="99"/>
    <w:rsid w:val="002E05BB"/>
    <w:rPr>
      <w:rFonts w:ascii="Arial" w:eastAsia="Times New Roman" w:hAnsi="Arial" w:cs="Tahoma"/>
      <w:sz w:val="20"/>
      <w:szCs w:val="24"/>
      <w:lang w:bidi="en-US"/>
    </w:rPr>
  </w:style>
  <w:style w:type="table" w:styleId="TableGrid">
    <w:name w:val="Table Grid"/>
    <w:basedOn w:val="TableNormal"/>
    <w:uiPriority w:val="59"/>
    <w:rsid w:val="002E0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0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5B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C49E6"/>
    <w:pPr>
      <w:spacing w:after="200"/>
    </w:pPr>
    <w:rPr>
      <w:rFonts w:asciiTheme="minorHAnsi" w:eastAsiaTheme="minorHAnsi" w:hAnsiTheme="minorHAnsi" w:cstheme="minorBidi"/>
      <w:b/>
      <w:bCs/>
      <w:szCs w:val="20"/>
      <w:lang w:bidi="ar-SA"/>
    </w:rPr>
  </w:style>
  <w:style w:type="character" w:customStyle="1" w:styleId="CommentSubjectChar">
    <w:name w:val="Comment Subject Char"/>
    <w:basedOn w:val="CommentTextChar"/>
    <w:link w:val="CommentSubject"/>
    <w:uiPriority w:val="99"/>
    <w:semiHidden/>
    <w:rsid w:val="00EC49E6"/>
    <w:rPr>
      <w:rFonts w:ascii="Arial" w:eastAsia="Times New Roman" w:hAnsi="Arial" w:cs="Tahoma"/>
      <w:b/>
      <w:bCs/>
      <w:sz w:val="20"/>
      <w:szCs w:val="20"/>
      <w:lang w:bidi="en-US"/>
    </w:rPr>
  </w:style>
  <w:style w:type="paragraph" w:styleId="Footer">
    <w:name w:val="footer"/>
    <w:basedOn w:val="Normal"/>
    <w:link w:val="FooterChar"/>
    <w:uiPriority w:val="99"/>
    <w:unhideWhenUsed/>
    <w:rsid w:val="008E1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83B"/>
  </w:style>
  <w:style w:type="paragraph" w:styleId="NormalWeb">
    <w:name w:val="Normal (Web)"/>
    <w:basedOn w:val="Normal"/>
    <w:uiPriority w:val="99"/>
    <w:semiHidden/>
    <w:unhideWhenUsed/>
    <w:rsid w:val="008735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B21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168486">
      <w:bodyDiv w:val="1"/>
      <w:marLeft w:val="0"/>
      <w:marRight w:val="0"/>
      <w:marTop w:val="0"/>
      <w:marBottom w:val="0"/>
      <w:divBdr>
        <w:top w:val="none" w:sz="0" w:space="0" w:color="auto"/>
        <w:left w:val="none" w:sz="0" w:space="0" w:color="auto"/>
        <w:bottom w:val="none" w:sz="0" w:space="0" w:color="auto"/>
        <w:right w:val="none" w:sz="0" w:space="0" w:color="auto"/>
      </w:divBdr>
    </w:div>
    <w:div w:id="207195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5CE7088BA5854B86307AE4240A84F2" ma:contentTypeVersion="2" ma:contentTypeDescription="Create a new document." ma:contentTypeScope="" ma:versionID="2d0d8ea895c2aabad9111489f76b2a40">
  <xsd:schema xmlns:xsd="http://www.w3.org/2001/XMLSchema" xmlns:xs="http://www.w3.org/2001/XMLSchema" xmlns:p="http://schemas.microsoft.com/office/2006/metadata/properties" xmlns:ns2="http://schemas.microsoft.com/sharepoint/v4" targetNamespace="http://schemas.microsoft.com/office/2006/metadata/properties" ma:root="true" ma:fieldsID="853f918d9f8f74f01fff476404650b97"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7B7658-F9C0-434C-83A6-9347EE53D4B1}">
  <ds:schemaRefs>
    <ds:schemaRef ds:uri="http://schemas.microsoft.com/sharepoint/v3/contenttype/forms"/>
  </ds:schemaRefs>
</ds:datastoreItem>
</file>

<file path=customXml/itemProps2.xml><?xml version="1.0" encoding="utf-8"?>
<ds:datastoreItem xmlns:ds="http://schemas.openxmlformats.org/officeDocument/2006/customXml" ds:itemID="{687568C1-DFBD-46A1-A8FA-76FA74E8BBA5}">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06A42D0D-425C-4A8D-9496-F216FE8CB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Week 7 Assignment Answer Key</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7 Assignment Answer Key</dc:title>
  <dc:creator/>
  <cp:lastModifiedBy/>
  <cp:revision>2</cp:revision>
  <dcterms:created xsi:type="dcterms:W3CDTF">2020-03-16T23:32:00Z</dcterms:created>
  <dcterms:modified xsi:type="dcterms:W3CDTF">2020-03-16T23:32:00Z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0x010100CF5CE7088BA5854B86307AE4240A84F2</vt:lpwstr>
  </property>
</Properties>
</file>