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0119E" w14:textId="77777777" w:rsidR="003030EE" w:rsidRDefault="003030EE" w:rsidP="003030EE">
      <w:pPr>
        <w:pStyle w:val="NoSpacing"/>
        <w:rPr>
          <w:rFonts w:ascii="Times New Roman" w:hAnsi="Times New Roman" w:cs="Times New Roman"/>
          <w:sz w:val="24"/>
          <w:szCs w:val="24"/>
        </w:rPr>
      </w:pPr>
      <w:r>
        <w:rPr>
          <w:rFonts w:ascii="Times New Roman" w:hAnsi="Times New Roman" w:cs="Times New Roman"/>
          <w:sz w:val="24"/>
          <w:szCs w:val="24"/>
        </w:rPr>
        <w:t>Jean Monroe</w:t>
      </w:r>
    </w:p>
    <w:p w14:paraId="48808BA0" w14:textId="77777777" w:rsidR="003030EE" w:rsidRPr="004A4489" w:rsidRDefault="003030EE" w:rsidP="003030EE">
      <w:pPr>
        <w:pStyle w:val="NoSpacing"/>
        <w:rPr>
          <w:rFonts w:ascii="Times New Roman" w:hAnsi="Times New Roman" w:cs="Times New Roman"/>
          <w:sz w:val="24"/>
          <w:szCs w:val="24"/>
        </w:rPr>
      </w:pPr>
    </w:p>
    <w:p w14:paraId="06795FEE" w14:textId="77777777" w:rsidR="003030EE" w:rsidRPr="00C371E5" w:rsidRDefault="003030EE" w:rsidP="003030EE">
      <w:pPr>
        <w:spacing w:line="480" w:lineRule="auto"/>
        <w:rPr>
          <w:rFonts w:ascii="Times New Roman" w:hAnsi="Times New Roman" w:cs="Times New Roman"/>
          <w:sz w:val="24"/>
          <w:szCs w:val="24"/>
        </w:rPr>
      </w:pPr>
      <w:r>
        <w:rPr>
          <w:rFonts w:ascii="Times New Roman" w:hAnsi="Times New Roman" w:cs="Times New Roman"/>
          <w:sz w:val="24"/>
          <w:szCs w:val="24"/>
        </w:rPr>
        <w:t>March 8, 2020</w:t>
      </w:r>
      <w:r w:rsidRPr="00C371E5">
        <w:rPr>
          <w:rFonts w:ascii="Times New Roman" w:hAnsi="Times New Roman" w:cs="Times New Roman"/>
          <w:sz w:val="24"/>
          <w:szCs w:val="24"/>
        </w:rPr>
        <w:t xml:space="preserve"> </w:t>
      </w:r>
    </w:p>
    <w:p w14:paraId="7961E907" w14:textId="77777777" w:rsidR="003030EE" w:rsidRPr="00D55E90" w:rsidRDefault="003030EE" w:rsidP="003030EE">
      <w:pPr>
        <w:spacing w:line="480" w:lineRule="auto"/>
        <w:jc w:val="center"/>
        <w:rPr>
          <w:rFonts w:ascii="Times New Roman" w:hAnsi="Times New Roman" w:cs="Times New Roman"/>
          <w:sz w:val="24"/>
          <w:szCs w:val="24"/>
          <w:u w:val="single"/>
        </w:rPr>
      </w:pPr>
      <w:r w:rsidRPr="00D55E90">
        <w:rPr>
          <w:rFonts w:ascii="Times New Roman" w:hAnsi="Times New Roman" w:cs="Times New Roman"/>
          <w:sz w:val="24"/>
          <w:szCs w:val="24"/>
          <w:u w:val="single"/>
        </w:rPr>
        <w:t>JAMES</w:t>
      </w:r>
      <w:r>
        <w:rPr>
          <w:rFonts w:ascii="Times New Roman" w:hAnsi="Times New Roman" w:cs="Times New Roman"/>
          <w:sz w:val="24"/>
          <w:szCs w:val="24"/>
          <w:u w:val="single"/>
        </w:rPr>
        <w:t xml:space="preserve"> JACKSON v. ACME COMPUTERS, INC</w:t>
      </w:r>
    </w:p>
    <w:p w14:paraId="3C359AE5" w14:textId="77777777" w:rsidR="003030EE" w:rsidRPr="00D55E90" w:rsidRDefault="003030EE" w:rsidP="003030EE">
      <w:pPr>
        <w:spacing w:line="480" w:lineRule="auto"/>
        <w:jc w:val="center"/>
        <w:rPr>
          <w:rFonts w:ascii="Times New Roman" w:hAnsi="Times New Roman" w:cs="Times New Roman"/>
          <w:b/>
          <w:sz w:val="24"/>
          <w:szCs w:val="24"/>
          <w:u w:val="single"/>
        </w:rPr>
      </w:pPr>
      <w:r w:rsidRPr="00D55E90">
        <w:rPr>
          <w:rFonts w:ascii="Times New Roman" w:hAnsi="Times New Roman" w:cs="Times New Roman"/>
          <w:b/>
          <w:sz w:val="24"/>
          <w:szCs w:val="24"/>
          <w:u w:val="single"/>
        </w:rPr>
        <w:t>Appellate brief</w:t>
      </w:r>
    </w:p>
    <w:p w14:paraId="6F8405A6" w14:textId="77777777" w:rsidR="003030EE" w:rsidRPr="00B36DB6" w:rsidRDefault="003030EE" w:rsidP="003030EE">
      <w:pPr>
        <w:spacing w:line="480" w:lineRule="auto"/>
        <w:rPr>
          <w:rFonts w:ascii="Times New Roman" w:hAnsi="Times New Roman" w:cs="Times New Roman"/>
          <w:b/>
          <w:bCs/>
          <w:sz w:val="24"/>
          <w:szCs w:val="24"/>
        </w:rPr>
      </w:pPr>
      <w:r w:rsidRPr="00B36DB6">
        <w:rPr>
          <w:rFonts w:ascii="Times New Roman" w:hAnsi="Times New Roman" w:cs="Times New Roman"/>
          <w:b/>
          <w:bCs/>
          <w:sz w:val="24"/>
          <w:szCs w:val="24"/>
        </w:rPr>
        <w:t>Summary of facts</w:t>
      </w:r>
    </w:p>
    <w:p w14:paraId="36D9B5EE" w14:textId="77777777" w:rsidR="003030EE" w:rsidRDefault="003030EE" w:rsidP="003030EE">
      <w:pPr>
        <w:spacing w:line="480" w:lineRule="auto"/>
        <w:rPr>
          <w:rFonts w:ascii="Times New Roman" w:hAnsi="Times New Roman" w:cs="Times New Roman"/>
          <w:sz w:val="24"/>
          <w:szCs w:val="24"/>
        </w:rPr>
      </w:pPr>
      <w:r>
        <w:rPr>
          <w:rFonts w:ascii="Times New Roman" w:hAnsi="Times New Roman" w:cs="Times New Roman"/>
          <w:sz w:val="24"/>
          <w:szCs w:val="24"/>
        </w:rPr>
        <w:t>Mr. Jackson (the appellant) was an employee of Acme Computers. During his employment, the company unveiled a suggestion program where employees would be rewarded for making suggestions that benefit the company. All employees were given brochures outlining the procedures to be followed when seeking compensation. The plan was detailed, with several provisions stressing the company’s discretion in whether to pay or not and the amount to be paid, if any. Mr. Jackson sued the company for failing to pay for his suggestions, which he claimed the company had used without compensating him. The company defended this claim, terming it baseless since the employee was fully aware of the terms of the plan, which gave the company exclusive discretion on determining whether compensation is paid or not. In the previous court, the appellant had alleged negligent misrepresentation and a breach of contract.  These claims failed to materialize, and the appellant has moved to this court to amend his claims and include</w:t>
      </w:r>
      <w:r w:rsidRPr="00392390">
        <w:rPr>
          <w:rFonts w:ascii="Times New Roman" w:hAnsi="Times New Roman" w:cs="Times New Roman"/>
          <w:sz w:val="24"/>
          <w:szCs w:val="24"/>
        </w:rPr>
        <w:t xml:space="preserve"> </w:t>
      </w:r>
      <w:r w:rsidRPr="009B45B7">
        <w:rPr>
          <w:rFonts w:ascii="Times New Roman" w:hAnsi="Times New Roman" w:cs="Times New Roman"/>
          <w:sz w:val="24"/>
          <w:szCs w:val="24"/>
        </w:rPr>
        <w:t xml:space="preserve">quantum </w:t>
      </w:r>
      <w:proofErr w:type="spellStart"/>
      <w:r w:rsidRPr="009B45B7">
        <w:rPr>
          <w:rFonts w:ascii="Times New Roman" w:hAnsi="Times New Roman" w:cs="Times New Roman"/>
          <w:sz w:val="24"/>
          <w:szCs w:val="24"/>
        </w:rPr>
        <w:t>merui</w:t>
      </w:r>
      <w:r>
        <w:rPr>
          <w:rFonts w:ascii="Times New Roman" w:hAnsi="Times New Roman" w:cs="Times New Roman"/>
          <w:sz w:val="24"/>
          <w:szCs w:val="24"/>
        </w:rPr>
        <w:t>t</w:t>
      </w:r>
      <w:proofErr w:type="spellEnd"/>
      <w:r>
        <w:rPr>
          <w:rFonts w:ascii="Times New Roman" w:hAnsi="Times New Roman" w:cs="Times New Roman"/>
          <w:sz w:val="24"/>
          <w:szCs w:val="24"/>
        </w:rPr>
        <w:t xml:space="preserve"> and unjust enrichment. Based on the pleadings that had been produced at the lower court, Acme Computers Inc. is seeking a dismissal of the claim. Acme Computers Inc. is opposing the appellant’s intention to add the stated claims</w:t>
      </w:r>
    </w:p>
    <w:p w14:paraId="5925326B" w14:textId="7BC556B6" w:rsidR="003030EE" w:rsidRDefault="003030EE" w:rsidP="003030EE">
      <w:pPr>
        <w:spacing w:line="480" w:lineRule="auto"/>
        <w:rPr>
          <w:rFonts w:ascii="Times New Roman" w:hAnsi="Times New Roman" w:cs="Times New Roman"/>
          <w:sz w:val="24"/>
          <w:szCs w:val="24"/>
        </w:rPr>
      </w:pPr>
    </w:p>
    <w:p w14:paraId="5C9C6E97" w14:textId="77777777" w:rsidR="003030EE" w:rsidRPr="00DD3A87" w:rsidRDefault="003030EE" w:rsidP="003030EE">
      <w:pPr>
        <w:spacing w:line="480" w:lineRule="auto"/>
        <w:rPr>
          <w:rFonts w:ascii="Times New Roman" w:hAnsi="Times New Roman" w:cs="Times New Roman"/>
          <w:sz w:val="24"/>
          <w:szCs w:val="24"/>
        </w:rPr>
      </w:pPr>
    </w:p>
    <w:p w14:paraId="030C0D3D" w14:textId="77777777" w:rsidR="003030EE" w:rsidRPr="00B36DB6" w:rsidRDefault="003030EE" w:rsidP="003030EE">
      <w:pPr>
        <w:spacing w:line="480" w:lineRule="auto"/>
        <w:rPr>
          <w:rFonts w:ascii="Times New Roman" w:hAnsi="Times New Roman" w:cs="Times New Roman"/>
          <w:b/>
          <w:bCs/>
          <w:sz w:val="24"/>
          <w:szCs w:val="24"/>
        </w:rPr>
      </w:pPr>
      <w:r w:rsidRPr="00B36DB6">
        <w:rPr>
          <w:rFonts w:ascii="Times New Roman" w:hAnsi="Times New Roman" w:cs="Times New Roman"/>
          <w:b/>
          <w:bCs/>
          <w:sz w:val="24"/>
          <w:szCs w:val="24"/>
        </w:rPr>
        <w:lastRenderedPageBreak/>
        <w:t>Defendant’s prayers</w:t>
      </w:r>
    </w:p>
    <w:p w14:paraId="006492E3" w14:textId="77777777" w:rsidR="003030EE" w:rsidRDefault="003030EE" w:rsidP="003030EE">
      <w:pPr>
        <w:spacing w:line="480" w:lineRule="auto"/>
        <w:rPr>
          <w:rFonts w:ascii="Times New Roman" w:hAnsi="Times New Roman" w:cs="Times New Roman"/>
          <w:sz w:val="24"/>
          <w:szCs w:val="24"/>
        </w:rPr>
      </w:pPr>
      <w:r>
        <w:rPr>
          <w:rFonts w:ascii="Times New Roman" w:hAnsi="Times New Roman" w:cs="Times New Roman"/>
          <w:sz w:val="24"/>
          <w:szCs w:val="24"/>
        </w:rPr>
        <w:t>In response to the appellant’s motion, the defendant is seeking the following remedies:</w:t>
      </w:r>
    </w:p>
    <w:p w14:paraId="2D63CB03" w14:textId="77777777" w:rsidR="003030EE" w:rsidRDefault="003030EE" w:rsidP="003030E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Appellants motion for leave to amend the c</w:t>
      </w:r>
      <w:r w:rsidRPr="00637A43">
        <w:rPr>
          <w:rFonts w:ascii="Times New Roman" w:hAnsi="Times New Roman" w:cs="Times New Roman"/>
          <w:sz w:val="24"/>
          <w:szCs w:val="24"/>
        </w:rPr>
        <w:t>omplaint</w:t>
      </w:r>
      <w:r>
        <w:rPr>
          <w:rFonts w:ascii="Times New Roman" w:hAnsi="Times New Roman" w:cs="Times New Roman"/>
          <w:sz w:val="24"/>
          <w:szCs w:val="24"/>
        </w:rPr>
        <w:t xml:space="preserve"> be denied</w:t>
      </w:r>
    </w:p>
    <w:p w14:paraId="686FF392" w14:textId="77777777" w:rsidR="003030EE" w:rsidRPr="0065320E" w:rsidRDefault="003030EE" w:rsidP="003030E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Defendant’s </w:t>
      </w:r>
      <w:r w:rsidRPr="00477B1C">
        <w:rPr>
          <w:rFonts w:ascii="Times New Roman" w:hAnsi="Times New Roman" w:cs="Times New Roman"/>
          <w:sz w:val="24"/>
          <w:szCs w:val="24"/>
        </w:rPr>
        <w:t xml:space="preserve">motion for </w:t>
      </w:r>
      <w:r>
        <w:rPr>
          <w:rFonts w:ascii="Times New Roman" w:hAnsi="Times New Roman" w:cs="Times New Roman"/>
          <w:sz w:val="24"/>
          <w:szCs w:val="24"/>
        </w:rPr>
        <w:t xml:space="preserve">summary </w:t>
      </w:r>
      <w:r w:rsidRPr="00477B1C">
        <w:rPr>
          <w:rFonts w:ascii="Times New Roman" w:hAnsi="Times New Roman" w:cs="Times New Roman"/>
          <w:sz w:val="24"/>
          <w:szCs w:val="24"/>
        </w:rPr>
        <w:t>jud</w:t>
      </w:r>
      <w:bookmarkStart w:id="0" w:name="_GoBack"/>
      <w:bookmarkEnd w:id="0"/>
      <w:r w:rsidRPr="00477B1C">
        <w:rPr>
          <w:rFonts w:ascii="Times New Roman" w:hAnsi="Times New Roman" w:cs="Times New Roman"/>
          <w:sz w:val="24"/>
          <w:szCs w:val="24"/>
        </w:rPr>
        <w:t>gment on the pleadings</w:t>
      </w:r>
      <w:r>
        <w:rPr>
          <w:rFonts w:ascii="Times New Roman" w:hAnsi="Times New Roman" w:cs="Times New Roman"/>
          <w:sz w:val="24"/>
          <w:szCs w:val="24"/>
        </w:rPr>
        <w:t xml:space="preserve"> be granted</w:t>
      </w:r>
    </w:p>
    <w:p w14:paraId="29E00E8B" w14:textId="77777777" w:rsidR="003030EE" w:rsidRPr="00F3578E" w:rsidRDefault="003030EE" w:rsidP="003030EE">
      <w:pPr>
        <w:spacing w:line="480" w:lineRule="auto"/>
        <w:rPr>
          <w:rFonts w:ascii="Times New Roman" w:hAnsi="Times New Roman" w:cs="Times New Roman"/>
          <w:b/>
          <w:bCs/>
          <w:sz w:val="24"/>
          <w:szCs w:val="24"/>
        </w:rPr>
      </w:pPr>
      <w:r w:rsidRPr="00F3578E">
        <w:rPr>
          <w:rFonts w:ascii="Times New Roman" w:hAnsi="Times New Roman" w:cs="Times New Roman"/>
          <w:b/>
          <w:bCs/>
          <w:sz w:val="24"/>
          <w:szCs w:val="24"/>
        </w:rPr>
        <w:t>Grounds for prayers</w:t>
      </w:r>
    </w:p>
    <w:p w14:paraId="139AB08F" w14:textId="77777777" w:rsidR="003030EE" w:rsidRDefault="003030EE" w:rsidP="003030EE">
      <w:pPr>
        <w:spacing w:line="480" w:lineRule="auto"/>
        <w:rPr>
          <w:rFonts w:ascii="Times New Roman" w:hAnsi="Times New Roman" w:cs="Times New Roman"/>
          <w:sz w:val="24"/>
          <w:szCs w:val="24"/>
        </w:rPr>
      </w:pPr>
      <w:r>
        <w:rPr>
          <w:rFonts w:ascii="Times New Roman" w:hAnsi="Times New Roman" w:cs="Times New Roman"/>
          <w:sz w:val="24"/>
          <w:szCs w:val="24"/>
        </w:rPr>
        <w:t>The defendant’s prayers are based on two broad areas. First, the plain reading of the document on which the case is based reveals that the company had no obligation to use employees’ suggestions, and if the suggestions were used, the company had no obligation to pay for such use. Secondly, the defendant’s position is supported by precedents.</w:t>
      </w:r>
    </w:p>
    <w:p w14:paraId="30740B0F" w14:textId="77777777" w:rsidR="003030EE" w:rsidRDefault="003030EE" w:rsidP="003030E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and most significant ground for the dismissal of the appellant’s motion is the suggestion plan that the appellant is relying on. The appellant was fully aware of the provision that gave the company the exclusive right to decide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to compensate or not. The plain reading of section 1.0 of the plan indicates that whenever an employee gives their suggestion, the company had the discretion to refuse it, use it or publish it for its own benefit without further direction or claim from the employee who brought in the suggestion. In case the company decided to use a suggestion, it still had the final word on the amount to compensate</w:t>
      </w:r>
    </w:p>
    <w:p w14:paraId="6ED8FF42" w14:textId="77777777" w:rsidR="003030EE" w:rsidRDefault="003030EE" w:rsidP="003030EE">
      <w:pPr>
        <w:pStyle w:val="ListParagraph"/>
        <w:numPr>
          <w:ilvl w:val="0"/>
          <w:numId w:val="2"/>
        </w:numPr>
        <w:spacing w:line="480" w:lineRule="auto"/>
        <w:rPr>
          <w:rFonts w:ascii="Times New Roman" w:hAnsi="Times New Roman" w:cs="Times New Roman"/>
          <w:sz w:val="24"/>
          <w:szCs w:val="24"/>
        </w:rPr>
      </w:pPr>
      <w:r w:rsidRPr="006B5F9F">
        <w:rPr>
          <w:rFonts w:ascii="Times New Roman" w:hAnsi="Times New Roman" w:cs="Times New Roman"/>
          <w:sz w:val="24"/>
          <w:szCs w:val="24"/>
        </w:rPr>
        <w:t>Secondly, compensation was not a right</w:t>
      </w:r>
      <w:r>
        <w:rPr>
          <w:rFonts w:ascii="Times New Roman" w:hAnsi="Times New Roman" w:cs="Times New Roman"/>
          <w:sz w:val="24"/>
          <w:szCs w:val="24"/>
        </w:rPr>
        <w:t>. There is no absolute right to be co</w:t>
      </w:r>
      <w:r w:rsidRPr="006B5F9F">
        <w:rPr>
          <w:rFonts w:ascii="Times New Roman" w:hAnsi="Times New Roman" w:cs="Times New Roman"/>
          <w:sz w:val="24"/>
          <w:szCs w:val="24"/>
        </w:rPr>
        <w:t>mpen</w:t>
      </w:r>
      <w:r>
        <w:rPr>
          <w:rFonts w:ascii="Times New Roman" w:hAnsi="Times New Roman" w:cs="Times New Roman"/>
          <w:sz w:val="24"/>
          <w:szCs w:val="24"/>
        </w:rPr>
        <w:t xml:space="preserve">sated in the plan unless there was a separate and specific contract between the appellant and the defendant. There was no contact between the appellant and the company. The terms of the plan are not binding upon the company to take and implement suggestions. As per </w:t>
      </w:r>
      <w:r>
        <w:rPr>
          <w:rFonts w:ascii="Times New Roman" w:hAnsi="Times New Roman" w:cs="Times New Roman"/>
          <w:sz w:val="24"/>
          <w:szCs w:val="24"/>
        </w:rPr>
        <w:lastRenderedPageBreak/>
        <w:t xml:space="preserve">section 1.2 of the plan, the company had no obligation to pay employees even when their ideas had been implemented. </w:t>
      </w:r>
    </w:p>
    <w:p w14:paraId="15C58BC1" w14:textId="77777777" w:rsidR="003030EE" w:rsidRDefault="003030EE" w:rsidP="003030EE">
      <w:pPr>
        <w:pStyle w:val="ListParagraph"/>
        <w:numPr>
          <w:ilvl w:val="0"/>
          <w:numId w:val="2"/>
        </w:numPr>
        <w:spacing w:line="480" w:lineRule="auto"/>
        <w:rPr>
          <w:rFonts w:ascii="Times New Roman" w:hAnsi="Times New Roman" w:cs="Times New Roman"/>
          <w:sz w:val="24"/>
          <w:szCs w:val="24"/>
        </w:rPr>
      </w:pPr>
      <w:r w:rsidRPr="006B5F9F">
        <w:rPr>
          <w:rFonts w:ascii="Times New Roman" w:hAnsi="Times New Roman" w:cs="Times New Roman"/>
          <w:sz w:val="24"/>
          <w:szCs w:val="24"/>
        </w:rPr>
        <w:t xml:space="preserve">Thirdly, the appellant had already waived his right for compensation, except under the plan. </w:t>
      </w:r>
      <w:r>
        <w:rPr>
          <w:rFonts w:ascii="Times New Roman" w:hAnsi="Times New Roman" w:cs="Times New Roman"/>
          <w:sz w:val="24"/>
          <w:szCs w:val="24"/>
        </w:rPr>
        <w:t xml:space="preserve">This is clarified in sections 1.2, which states that employees waive their right to compensation in any other way except under the plan. This section alone defeats the claimant’s intention to add more claims, by the fact that he had waived his right to seek compensation through legal channels. </w:t>
      </w:r>
    </w:p>
    <w:p w14:paraId="568F197E" w14:textId="77777777" w:rsidR="003030EE" w:rsidRPr="0098556D" w:rsidRDefault="003030EE" w:rsidP="003030E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Precedents addressing this area of law support the defendant’s position. In the case of </w:t>
      </w:r>
      <w:r w:rsidRPr="00140BE4">
        <w:rPr>
          <w:rFonts w:ascii="Times New Roman" w:hAnsi="Times New Roman" w:cs="Times New Roman"/>
          <w:i/>
          <w:sz w:val="24"/>
          <w:szCs w:val="24"/>
        </w:rPr>
        <w:t>Calkins v. Boeing Co</w:t>
      </w:r>
      <w:r>
        <w:rPr>
          <w:rFonts w:ascii="Times New Roman" w:hAnsi="Times New Roman" w:cs="Times New Roman"/>
          <w:sz w:val="24"/>
          <w:szCs w:val="24"/>
        </w:rPr>
        <w:t>, the court held that suggestions given by employees based on contracts or written contracts are not to be compensated and companies can decline to pay</w:t>
      </w:r>
      <w:r w:rsidRPr="0098556D">
        <w:rPr>
          <w:rFonts w:ascii="Times New Roman" w:hAnsi="Times New Roman" w:cs="Times New Roman"/>
          <w:sz w:val="24"/>
          <w:szCs w:val="24"/>
        </w:rPr>
        <w:t xml:space="preserve">. This case has facts that are </w:t>
      </w:r>
      <w:proofErr w:type="gramStart"/>
      <w:r w:rsidRPr="0098556D">
        <w:rPr>
          <w:rFonts w:ascii="Times New Roman" w:hAnsi="Times New Roman" w:cs="Times New Roman"/>
          <w:sz w:val="24"/>
          <w:szCs w:val="24"/>
        </w:rPr>
        <w:t>similar to</w:t>
      </w:r>
      <w:proofErr w:type="gramEnd"/>
      <w:r w:rsidRPr="0098556D">
        <w:rPr>
          <w:rFonts w:ascii="Times New Roman" w:hAnsi="Times New Roman" w:cs="Times New Roman"/>
          <w:sz w:val="24"/>
          <w:szCs w:val="24"/>
        </w:rPr>
        <w:t xml:space="preserve"> the present one. The claimant had sued Boeing seeking damages for using three programs he designed while working for the defendant. The defendant had a written contract outlining circumstances when employees would be paid. The defendant declined to pay on the grounds that the suggestion was not original. This decision supports the company’s position in seeking to dismiss the appellant’s additional claims. There was absolutely no contract between the appellant and the defendant.</w:t>
      </w:r>
      <w:r>
        <w:rPr>
          <w:rFonts w:ascii="Times New Roman" w:hAnsi="Times New Roman" w:cs="Times New Roman"/>
          <w:sz w:val="24"/>
          <w:szCs w:val="24"/>
        </w:rPr>
        <w:t xml:space="preserve"> </w:t>
      </w:r>
    </w:p>
    <w:p w14:paraId="4AD1E152" w14:textId="77777777" w:rsidR="003030EE" w:rsidRDefault="003030EE" w:rsidP="003030E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prayer </w:t>
      </w:r>
      <w:r w:rsidRPr="00477B1C">
        <w:rPr>
          <w:rFonts w:ascii="Times New Roman" w:hAnsi="Times New Roman" w:cs="Times New Roman"/>
          <w:sz w:val="24"/>
          <w:szCs w:val="24"/>
        </w:rPr>
        <w:t xml:space="preserve">for </w:t>
      </w:r>
      <w:r>
        <w:rPr>
          <w:rFonts w:ascii="Times New Roman" w:hAnsi="Times New Roman" w:cs="Times New Roman"/>
          <w:sz w:val="24"/>
          <w:szCs w:val="24"/>
        </w:rPr>
        <w:t xml:space="preserve">summary </w:t>
      </w:r>
      <w:r w:rsidRPr="00477B1C">
        <w:rPr>
          <w:rFonts w:ascii="Times New Roman" w:hAnsi="Times New Roman" w:cs="Times New Roman"/>
          <w:sz w:val="24"/>
          <w:szCs w:val="24"/>
        </w:rPr>
        <w:t>judgment on the pleadings</w:t>
      </w:r>
      <w:r>
        <w:rPr>
          <w:rFonts w:ascii="Times New Roman" w:hAnsi="Times New Roman" w:cs="Times New Roman"/>
          <w:sz w:val="24"/>
          <w:szCs w:val="24"/>
        </w:rPr>
        <w:t xml:space="preserve"> is also supported by precedents. In </w:t>
      </w:r>
      <w:r w:rsidRPr="008E002B">
        <w:rPr>
          <w:rFonts w:ascii="Times New Roman" w:hAnsi="Times New Roman" w:cs="Times New Roman"/>
          <w:i/>
          <w:sz w:val="24"/>
          <w:szCs w:val="24"/>
        </w:rPr>
        <w:t>Bruce v. Riddle</w:t>
      </w:r>
      <w:r>
        <w:rPr>
          <w:rFonts w:ascii="Times New Roman" w:hAnsi="Times New Roman" w:cs="Times New Roman"/>
          <w:sz w:val="24"/>
          <w:szCs w:val="24"/>
        </w:rPr>
        <w:t>, the court addressed the issue of rule</w:t>
      </w:r>
      <w:r w:rsidRPr="00D407AE">
        <w:rPr>
          <w:rFonts w:ascii="Times New Roman" w:hAnsi="Times New Roman" w:cs="Times New Roman"/>
          <w:sz w:val="24"/>
          <w:szCs w:val="24"/>
        </w:rPr>
        <w:t xml:space="preserve"> 12(c) </w:t>
      </w:r>
      <w:r>
        <w:rPr>
          <w:rFonts w:ascii="Times New Roman" w:hAnsi="Times New Roman" w:cs="Times New Roman"/>
          <w:sz w:val="24"/>
          <w:szCs w:val="24"/>
        </w:rPr>
        <w:t xml:space="preserve">on </w:t>
      </w:r>
      <w:r w:rsidRPr="00D407AE">
        <w:rPr>
          <w:rFonts w:ascii="Times New Roman" w:hAnsi="Times New Roman" w:cs="Times New Roman"/>
          <w:sz w:val="24"/>
          <w:szCs w:val="24"/>
        </w:rPr>
        <w:t>dismissal</w:t>
      </w:r>
      <w:r>
        <w:rPr>
          <w:rFonts w:ascii="Times New Roman" w:hAnsi="Times New Roman" w:cs="Times New Roman"/>
          <w:sz w:val="24"/>
          <w:szCs w:val="24"/>
        </w:rPr>
        <w:t xml:space="preserve">, stating that a claim can be </w:t>
      </w:r>
      <w:proofErr w:type="gramStart"/>
      <w:r>
        <w:rPr>
          <w:rFonts w:ascii="Times New Roman" w:hAnsi="Times New Roman" w:cs="Times New Roman"/>
          <w:sz w:val="24"/>
          <w:szCs w:val="24"/>
        </w:rPr>
        <w:t>dismissed</w:t>
      </w:r>
      <w:proofErr w:type="gramEnd"/>
      <w:r>
        <w:rPr>
          <w:rFonts w:ascii="Times New Roman" w:hAnsi="Times New Roman" w:cs="Times New Roman"/>
          <w:sz w:val="24"/>
          <w:szCs w:val="24"/>
        </w:rPr>
        <w:t xml:space="preserve"> and judgment granted to the defendant if the appellant fails to sufficiently support his claim with a set of facts</w:t>
      </w:r>
      <w:r w:rsidRPr="00CB66FF">
        <w:rPr>
          <w:rFonts w:ascii="Times New Roman" w:hAnsi="Times New Roman" w:cs="Times New Roman"/>
          <w:sz w:val="24"/>
          <w:szCs w:val="24"/>
        </w:rPr>
        <w:t xml:space="preserve">. In this case, the defendant has failed to prove any case, and therefore, the court can grant the judgment. In the case of </w:t>
      </w:r>
      <w:r w:rsidRPr="00CB66FF">
        <w:rPr>
          <w:rFonts w:ascii="Times New Roman" w:hAnsi="Times New Roman" w:cs="Times New Roman"/>
          <w:i/>
          <w:sz w:val="24"/>
          <w:szCs w:val="24"/>
        </w:rPr>
        <w:t>Bishop v. Federal Intermediate Credit Bank</w:t>
      </w:r>
      <w:r w:rsidRPr="00CB66FF">
        <w:rPr>
          <w:rFonts w:ascii="Times New Roman" w:hAnsi="Times New Roman" w:cs="Times New Roman"/>
          <w:sz w:val="24"/>
          <w:szCs w:val="24"/>
        </w:rPr>
        <w:t xml:space="preserve">, the court stated that </w:t>
      </w:r>
      <w:r>
        <w:rPr>
          <w:rFonts w:ascii="Times New Roman" w:hAnsi="Times New Roman" w:cs="Times New Roman"/>
          <w:sz w:val="24"/>
          <w:szCs w:val="24"/>
        </w:rPr>
        <w:t xml:space="preserve">the moving party is by law </w:t>
      </w:r>
      <w:r>
        <w:rPr>
          <w:rFonts w:ascii="Times New Roman" w:hAnsi="Times New Roman" w:cs="Times New Roman"/>
          <w:sz w:val="24"/>
          <w:szCs w:val="24"/>
        </w:rPr>
        <w:lastRenderedPageBreak/>
        <w:t xml:space="preserve">entitled to summary judgment if the other party has failed to prove the existence of a </w:t>
      </w:r>
      <w:r w:rsidRPr="00CB66FF">
        <w:rPr>
          <w:rFonts w:ascii="Times New Roman" w:hAnsi="Times New Roman" w:cs="Times New Roman"/>
          <w:sz w:val="24"/>
          <w:szCs w:val="24"/>
        </w:rPr>
        <w:t>genuine issue of material fact</w:t>
      </w:r>
      <w:r>
        <w:rPr>
          <w:rFonts w:ascii="Times New Roman" w:hAnsi="Times New Roman" w:cs="Times New Roman"/>
          <w:sz w:val="24"/>
          <w:szCs w:val="24"/>
        </w:rPr>
        <w:t>.</w:t>
      </w:r>
    </w:p>
    <w:p w14:paraId="70BDEBDD" w14:textId="77777777" w:rsidR="003030EE" w:rsidRPr="00B36DB6" w:rsidRDefault="003030EE" w:rsidP="003030EE">
      <w:pPr>
        <w:spacing w:line="480" w:lineRule="auto"/>
        <w:rPr>
          <w:rFonts w:ascii="Times New Roman" w:hAnsi="Times New Roman" w:cs="Times New Roman"/>
          <w:b/>
          <w:bCs/>
          <w:sz w:val="24"/>
          <w:szCs w:val="24"/>
        </w:rPr>
      </w:pPr>
      <w:r w:rsidRPr="00B36DB6">
        <w:rPr>
          <w:rFonts w:ascii="Times New Roman" w:hAnsi="Times New Roman" w:cs="Times New Roman"/>
          <w:b/>
          <w:bCs/>
          <w:sz w:val="24"/>
          <w:szCs w:val="24"/>
        </w:rPr>
        <w:t>Conclusion</w:t>
      </w:r>
    </w:p>
    <w:p w14:paraId="410E7EC3" w14:textId="77777777" w:rsidR="003030EE" w:rsidRDefault="003030EE" w:rsidP="003030EE">
      <w:pPr>
        <w:spacing w:line="480" w:lineRule="auto"/>
        <w:rPr>
          <w:rFonts w:ascii="Times New Roman" w:hAnsi="Times New Roman" w:cs="Times New Roman"/>
          <w:sz w:val="24"/>
          <w:szCs w:val="24"/>
        </w:rPr>
      </w:pPr>
      <w:r>
        <w:rPr>
          <w:rFonts w:ascii="Times New Roman" w:hAnsi="Times New Roman" w:cs="Times New Roman"/>
          <w:sz w:val="24"/>
          <w:szCs w:val="24"/>
        </w:rPr>
        <w:t>The defendant's motion is supported by the plain reading of the suggestion plan, the law, and precedents. Since the appellant has not established any genuine issue, the defendant is seeking a rejection of the appellant motion to amend, and a summary judgment based on the pleadings.</w:t>
      </w:r>
    </w:p>
    <w:p w14:paraId="6421D3E2" w14:textId="77777777" w:rsidR="003030EE" w:rsidRDefault="003030EE" w:rsidP="003030EE">
      <w:pPr>
        <w:spacing w:line="480" w:lineRule="auto"/>
        <w:rPr>
          <w:rFonts w:ascii="Times New Roman" w:hAnsi="Times New Roman" w:cs="Times New Roman"/>
          <w:sz w:val="24"/>
          <w:szCs w:val="24"/>
        </w:rPr>
      </w:pPr>
    </w:p>
    <w:p w14:paraId="00CA652A" w14:textId="77777777" w:rsidR="003030EE" w:rsidRDefault="003030EE" w:rsidP="003030EE">
      <w:pPr>
        <w:spacing w:line="480" w:lineRule="auto"/>
        <w:rPr>
          <w:rFonts w:ascii="Times New Roman" w:hAnsi="Times New Roman" w:cs="Times New Roman"/>
          <w:sz w:val="24"/>
          <w:szCs w:val="24"/>
        </w:rPr>
      </w:pPr>
    </w:p>
    <w:p w14:paraId="6F97AA7C" w14:textId="77777777" w:rsidR="003030EE" w:rsidRDefault="003030EE" w:rsidP="003030EE">
      <w:pPr>
        <w:spacing w:line="480" w:lineRule="auto"/>
        <w:rPr>
          <w:rFonts w:ascii="Times New Roman" w:hAnsi="Times New Roman" w:cs="Times New Roman"/>
          <w:sz w:val="24"/>
          <w:szCs w:val="24"/>
        </w:rPr>
      </w:pPr>
    </w:p>
    <w:p w14:paraId="28745A06" w14:textId="77777777" w:rsidR="003030EE" w:rsidRDefault="003030EE" w:rsidP="003030EE">
      <w:pPr>
        <w:spacing w:line="480" w:lineRule="auto"/>
        <w:rPr>
          <w:rFonts w:ascii="Times New Roman" w:hAnsi="Times New Roman" w:cs="Times New Roman"/>
          <w:sz w:val="24"/>
          <w:szCs w:val="24"/>
        </w:rPr>
      </w:pPr>
    </w:p>
    <w:p w14:paraId="12AE6AAE" w14:textId="77777777" w:rsidR="003030EE" w:rsidRDefault="003030EE" w:rsidP="003030EE">
      <w:pPr>
        <w:spacing w:line="480" w:lineRule="auto"/>
        <w:rPr>
          <w:rFonts w:ascii="Times New Roman" w:hAnsi="Times New Roman" w:cs="Times New Roman"/>
          <w:sz w:val="24"/>
          <w:szCs w:val="24"/>
        </w:rPr>
      </w:pPr>
    </w:p>
    <w:p w14:paraId="483F4829" w14:textId="77777777" w:rsidR="003030EE" w:rsidRDefault="003030EE" w:rsidP="003030EE">
      <w:pPr>
        <w:spacing w:line="480" w:lineRule="auto"/>
        <w:rPr>
          <w:rFonts w:ascii="Times New Roman" w:hAnsi="Times New Roman" w:cs="Times New Roman"/>
          <w:sz w:val="24"/>
          <w:szCs w:val="24"/>
        </w:rPr>
      </w:pPr>
    </w:p>
    <w:p w14:paraId="3EC03A84" w14:textId="77777777" w:rsidR="003030EE" w:rsidRDefault="003030EE" w:rsidP="003030EE">
      <w:pPr>
        <w:spacing w:line="480" w:lineRule="auto"/>
        <w:rPr>
          <w:rFonts w:ascii="Times New Roman" w:hAnsi="Times New Roman" w:cs="Times New Roman"/>
          <w:sz w:val="24"/>
          <w:szCs w:val="24"/>
        </w:rPr>
      </w:pPr>
    </w:p>
    <w:p w14:paraId="6F91A9D3" w14:textId="77777777" w:rsidR="003030EE" w:rsidRDefault="003030EE" w:rsidP="003030EE">
      <w:pPr>
        <w:spacing w:line="480" w:lineRule="auto"/>
        <w:rPr>
          <w:rFonts w:ascii="Times New Roman" w:hAnsi="Times New Roman" w:cs="Times New Roman"/>
          <w:sz w:val="24"/>
          <w:szCs w:val="24"/>
        </w:rPr>
      </w:pPr>
    </w:p>
    <w:p w14:paraId="422CF59E" w14:textId="77777777" w:rsidR="003030EE" w:rsidRDefault="003030EE" w:rsidP="003030EE">
      <w:pPr>
        <w:spacing w:line="480" w:lineRule="auto"/>
        <w:rPr>
          <w:rFonts w:ascii="Times New Roman" w:hAnsi="Times New Roman" w:cs="Times New Roman"/>
          <w:sz w:val="24"/>
          <w:szCs w:val="24"/>
        </w:rPr>
      </w:pPr>
    </w:p>
    <w:p w14:paraId="51D792E0" w14:textId="77777777" w:rsidR="003030EE" w:rsidRDefault="003030EE" w:rsidP="003030EE">
      <w:pPr>
        <w:spacing w:line="480" w:lineRule="auto"/>
        <w:rPr>
          <w:rFonts w:ascii="Times New Roman" w:hAnsi="Times New Roman" w:cs="Times New Roman"/>
          <w:sz w:val="24"/>
          <w:szCs w:val="24"/>
        </w:rPr>
      </w:pPr>
    </w:p>
    <w:p w14:paraId="562A8B77" w14:textId="5F829E9D" w:rsidR="003030EE" w:rsidRDefault="003030EE" w:rsidP="003030EE">
      <w:pPr>
        <w:spacing w:line="480" w:lineRule="auto"/>
        <w:rPr>
          <w:rFonts w:ascii="Times New Roman" w:hAnsi="Times New Roman" w:cs="Times New Roman"/>
          <w:sz w:val="24"/>
          <w:szCs w:val="24"/>
        </w:rPr>
      </w:pPr>
    </w:p>
    <w:p w14:paraId="310BD004" w14:textId="2D380145" w:rsidR="003030EE" w:rsidRDefault="003030EE" w:rsidP="003030EE">
      <w:pPr>
        <w:spacing w:line="480" w:lineRule="auto"/>
        <w:rPr>
          <w:rFonts w:ascii="Times New Roman" w:hAnsi="Times New Roman" w:cs="Times New Roman"/>
          <w:sz w:val="24"/>
          <w:szCs w:val="24"/>
        </w:rPr>
      </w:pPr>
    </w:p>
    <w:p w14:paraId="58958969" w14:textId="77777777" w:rsidR="003030EE" w:rsidRDefault="003030EE" w:rsidP="003030EE">
      <w:pPr>
        <w:spacing w:line="480" w:lineRule="auto"/>
        <w:rPr>
          <w:rFonts w:ascii="Times New Roman" w:hAnsi="Times New Roman" w:cs="Times New Roman"/>
          <w:sz w:val="24"/>
          <w:szCs w:val="24"/>
        </w:rPr>
      </w:pPr>
    </w:p>
    <w:p w14:paraId="39354A3E" w14:textId="77777777" w:rsidR="003030EE" w:rsidRDefault="003030EE" w:rsidP="003030EE">
      <w:pPr>
        <w:spacing w:line="480" w:lineRule="auto"/>
        <w:rPr>
          <w:rFonts w:ascii="Times New Roman" w:hAnsi="Times New Roman" w:cs="Times New Roman"/>
          <w:sz w:val="24"/>
          <w:szCs w:val="24"/>
        </w:rPr>
      </w:pPr>
    </w:p>
    <w:p w14:paraId="4C6E0995" w14:textId="77777777" w:rsidR="003030EE" w:rsidRPr="00DD3A87" w:rsidRDefault="003030EE" w:rsidP="003030EE">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347289E6" w14:textId="77777777" w:rsidR="003030EE" w:rsidRDefault="003030EE" w:rsidP="003030EE">
      <w:pPr>
        <w:spacing w:line="480" w:lineRule="auto"/>
        <w:rPr>
          <w:rFonts w:ascii="Times New Roman" w:hAnsi="Times New Roman" w:cs="Times New Roman"/>
          <w:sz w:val="24"/>
          <w:szCs w:val="24"/>
        </w:rPr>
      </w:pPr>
      <w:r w:rsidRPr="00CB7AC2">
        <w:rPr>
          <w:rFonts w:ascii="Times New Roman" w:hAnsi="Times New Roman" w:cs="Times New Roman"/>
          <w:i/>
          <w:sz w:val="24"/>
          <w:szCs w:val="24"/>
        </w:rPr>
        <w:t>Bruce v. Riddle</w:t>
      </w:r>
      <w:r w:rsidRPr="00146204">
        <w:rPr>
          <w:rFonts w:ascii="Times New Roman" w:hAnsi="Times New Roman" w:cs="Times New Roman"/>
          <w:sz w:val="24"/>
          <w:szCs w:val="24"/>
        </w:rPr>
        <w:t xml:space="preserve">, 631 F.2d 272, 273-74 (74th Cir. 1980) </w:t>
      </w:r>
    </w:p>
    <w:p w14:paraId="2920FE32" w14:textId="77777777" w:rsidR="003030EE" w:rsidRDefault="003030EE" w:rsidP="003030EE">
      <w:pPr>
        <w:spacing w:line="480" w:lineRule="auto"/>
        <w:rPr>
          <w:rFonts w:ascii="Times New Roman" w:hAnsi="Times New Roman" w:cs="Times New Roman"/>
          <w:sz w:val="24"/>
          <w:szCs w:val="24"/>
        </w:rPr>
      </w:pPr>
      <w:r w:rsidRPr="00CB7AC2">
        <w:rPr>
          <w:rFonts w:ascii="Times New Roman" w:hAnsi="Times New Roman" w:cs="Times New Roman"/>
          <w:i/>
          <w:sz w:val="24"/>
          <w:szCs w:val="24"/>
        </w:rPr>
        <w:t>Bishop v. Federal Intermediate Credit Bank</w:t>
      </w:r>
      <w:r w:rsidRPr="00146204">
        <w:rPr>
          <w:rFonts w:ascii="Times New Roman" w:hAnsi="Times New Roman" w:cs="Times New Roman"/>
          <w:sz w:val="24"/>
          <w:szCs w:val="24"/>
        </w:rPr>
        <w:t>, 908 F.2d 658, 669 (10th Cir. 1990</w:t>
      </w:r>
    </w:p>
    <w:p w14:paraId="71C47C22" w14:textId="77777777" w:rsidR="003030EE" w:rsidRPr="00DD3A87" w:rsidRDefault="003030EE" w:rsidP="003030EE">
      <w:pPr>
        <w:spacing w:line="480" w:lineRule="auto"/>
        <w:rPr>
          <w:rFonts w:ascii="Times New Roman" w:hAnsi="Times New Roman" w:cs="Times New Roman"/>
          <w:sz w:val="24"/>
          <w:szCs w:val="24"/>
        </w:rPr>
      </w:pPr>
      <w:r w:rsidRPr="00CB7AC2">
        <w:rPr>
          <w:rFonts w:ascii="Times New Roman" w:hAnsi="Times New Roman" w:cs="Times New Roman"/>
          <w:i/>
          <w:sz w:val="24"/>
          <w:szCs w:val="24"/>
        </w:rPr>
        <w:t>Calkins v. Boeing Co</w:t>
      </w:r>
      <w:r w:rsidRPr="00146204">
        <w:rPr>
          <w:rFonts w:ascii="Times New Roman" w:hAnsi="Times New Roman" w:cs="Times New Roman"/>
          <w:sz w:val="24"/>
          <w:szCs w:val="24"/>
        </w:rPr>
        <w:t xml:space="preserve">., 506 P.2d 329, 330 (Wash. Ct. App – 1973) </w:t>
      </w:r>
    </w:p>
    <w:p w14:paraId="19DB187E" w14:textId="77777777" w:rsidR="003030EE" w:rsidRDefault="003030EE" w:rsidP="003030EE"/>
    <w:p w14:paraId="51A4B1D9" w14:textId="77777777" w:rsidR="00B31D41" w:rsidRDefault="00F3578E"/>
    <w:sectPr w:rsidR="00B31D41">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629327"/>
      <w:docPartObj>
        <w:docPartGallery w:val="Page Numbers (Bottom of Page)"/>
        <w:docPartUnique/>
      </w:docPartObj>
    </w:sdtPr>
    <w:sdtEndPr>
      <w:rPr>
        <w:noProof/>
      </w:rPr>
    </w:sdtEndPr>
    <w:sdtContent>
      <w:p w14:paraId="6C23769F" w14:textId="77777777" w:rsidR="00B36DB6" w:rsidRDefault="00F357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AAF45" w14:textId="77777777" w:rsidR="00B36DB6" w:rsidRDefault="00F3578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623C" w14:textId="77777777" w:rsidR="00C371E5" w:rsidRPr="00C371E5" w:rsidRDefault="00F3578E">
    <w:pPr>
      <w:pStyle w:val="Header"/>
      <w:jc w:val="right"/>
      <w:rPr>
        <w:rFonts w:ascii="Times New Roman" w:hAnsi="Times New Roman" w:cs="Times New Roman"/>
        <w:sz w:val="24"/>
        <w:szCs w:val="24"/>
      </w:rPr>
    </w:pPr>
  </w:p>
  <w:p w14:paraId="1E903DB7" w14:textId="77777777" w:rsidR="00C371E5" w:rsidRDefault="00F35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B4A1F"/>
    <w:multiLevelType w:val="hybridMultilevel"/>
    <w:tmpl w:val="7D441D58"/>
    <w:lvl w:ilvl="0" w:tplc="45DC716C">
      <w:start w:val="1"/>
      <w:numFmt w:val="upperRoman"/>
      <w:lvlText w:val="%1."/>
      <w:lvlJc w:val="right"/>
      <w:pPr>
        <w:ind w:left="720" w:hanging="360"/>
      </w:pPr>
    </w:lvl>
    <w:lvl w:ilvl="1" w:tplc="C882E1C4" w:tentative="1">
      <w:start w:val="1"/>
      <w:numFmt w:val="lowerLetter"/>
      <w:lvlText w:val="%2."/>
      <w:lvlJc w:val="left"/>
      <w:pPr>
        <w:ind w:left="1440" w:hanging="360"/>
      </w:pPr>
    </w:lvl>
    <w:lvl w:ilvl="2" w:tplc="9A6E13EC" w:tentative="1">
      <w:start w:val="1"/>
      <w:numFmt w:val="lowerRoman"/>
      <w:lvlText w:val="%3."/>
      <w:lvlJc w:val="right"/>
      <w:pPr>
        <w:ind w:left="2160" w:hanging="180"/>
      </w:pPr>
    </w:lvl>
    <w:lvl w:ilvl="3" w:tplc="A78ACD14" w:tentative="1">
      <w:start w:val="1"/>
      <w:numFmt w:val="decimal"/>
      <w:lvlText w:val="%4."/>
      <w:lvlJc w:val="left"/>
      <w:pPr>
        <w:ind w:left="2880" w:hanging="360"/>
      </w:pPr>
    </w:lvl>
    <w:lvl w:ilvl="4" w:tplc="30E4F346" w:tentative="1">
      <w:start w:val="1"/>
      <w:numFmt w:val="lowerLetter"/>
      <w:lvlText w:val="%5."/>
      <w:lvlJc w:val="left"/>
      <w:pPr>
        <w:ind w:left="3600" w:hanging="360"/>
      </w:pPr>
    </w:lvl>
    <w:lvl w:ilvl="5" w:tplc="48206E26" w:tentative="1">
      <w:start w:val="1"/>
      <w:numFmt w:val="lowerRoman"/>
      <w:lvlText w:val="%6."/>
      <w:lvlJc w:val="right"/>
      <w:pPr>
        <w:ind w:left="4320" w:hanging="180"/>
      </w:pPr>
    </w:lvl>
    <w:lvl w:ilvl="6" w:tplc="0CFEB85C" w:tentative="1">
      <w:start w:val="1"/>
      <w:numFmt w:val="decimal"/>
      <w:lvlText w:val="%7."/>
      <w:lvlJc w:val="left"/>
      <w:pPr>
        <w:ind w:left="5040" w:hanging="360"/>
      </w:pPr>
    </w:lvl>
    <w:lvl w:ilvl="7" w:tplc="313E6BD4" w:tentative="1">
      <w:start w:val="1"/>
      <w:numFmt w:val="lowerLetter"/>
      <w:lvlText w:val="%8."/>
      <w:lvlJc w:val="left"/>
      <w:pPr>
        <w:ind w:left="5760" w:hanging="360"/>
      </w:pPr>
    </w:lvl>
    <w:lvl w:ilvl="8" w:tplc="2528DD64" w:tentative="1">
      <w:start w:val="1"/>
      <w:numFmt w:val="lowerRoman"/>
      <w:lvlText w:val="%9."/>
      <w:lvlJc w:val="right"/>
      <w:pPr>
        <w:ind w:left="6480" w:hanging="180"/>
      </w:pPr>
    </w:lvl>
  </w:abstractNum>
  <w:abstractNum w:abstractNumId="1" w15:restartNumberingAfterBreak="0">
    <w:nsid w:val="6A557CE9"/>
    <w:multiLevelType w:val="hybridMultilevel"/>
    <w:tmpl w:val="A3B6218C"/>
    <w:lvl w:ilvl="0" w:tplc="DCC61860">
      <w:start w:val="1"/>
      <w:numFmt w:val="decimal"/>
      <w:lvlText w:val="%1."/>
      <w:lvlJc w:val="left"/>
      <w:pPr>
        <w:ind w:left="720" w:hanging="360"/>
      </w:pPr>
    </w:lvl>
    <w:lvl w:ilvl="1" w:tplc="7BEC9EF6" w:tentative="1">
      <w:start w:val="1"/>
      <w:numFmt w:val="lowerLetter"/>
      <w:lvlText w:val="%2."/>
      <w:lvlJc w:val="left"/>
      <w:pPr>
        <w:ind w:left="1440" w:hanging="360"/>
      </w:pPr>
    </w:lvl>
    <w:lvl w:ilvl="2" w:tplc="B28E75B2" w:tentative="1">
      <w:start w:val="1"/>
      <w:numFmt w:val="lowerRoman"/>
      <w:lvlText w:val="%3."/>
      <w:lvlJc w:val="right"/>
      <w:pPr>
        <w:ind w:left="2160" w:hanging="180"/>
      </w:pPr>
    </w:lvl>
    <w:lvl w:ilvl="3" w:tplc="9E141718" w:tentative="1">
      <w:start w:val="1"/>
      <w:numFmt w:val="decimal"/>
      <w:lvlText w:val="%4."/>
      <w:lvlJc w:val="left"/>
      <w:pPr>
        <w:ind w:left="2880" w:hanging="360"/>
      </w:pPr>
    </w:lvl>
    <w:lvl w:ilvl="4" w:tplc="5036C066" w:tentative="1">
      <w:start w:val="1"/>
      <w:numFmt w:val="lowerLetter"/>
      <w:lvlText w:val="%5."/>
      <w:lvlJc w:val="left"/>
      <w:pPr>
        <w:ind w:left="3600" w:hanging="360"/>
      </w:pPr>
    </w:lvl>
    <w:lvl w:ilvl="5" w:tplc="93B07322" w:tentative="1">
      <w:start w:val="1"/>
      <w:numFmt w:val="lowerRoman"/>
      <w:lvlText w:val="%6."/>
      <w:lvlJc w:val="right"/>
      <w:pPr>
        <w:ind w:left="4320" w:hanging="180"/>
      </w:pPr>
    </w:lvl>
    <w:lvl w:ilvl="6" w:tplc="4A260F80" w:tentative="1">
      <w:start w:val="1"/>
      <w:numFmt w:val="decimal"/>
      <w:lvlText w:val="%7."/>
      <w:lvlJc w:val="left"/>
      <w:pPr>
        <w:ind w:left="5040" w:hanging="360"/>
      </w:pPr>
    </w:lvl>
    <w:lvl w:ilvl="7" w:tplc="212A8B26" w:tentative="1">
      <w:start w:val="1"/>
      <w:numFmt w:val="lowerLetter"/>
      <w:lvlText w:val="%8."/>
      <w:lvlJc w:val="left"/>
      <w:pPr>
        <w:ind w:left="5760" w:hanging="360"/>
      </w:pPr>
    </w:lvl>
    <w:lvl w:ilvl="8" w:tplc="A85C45B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EE"/>
    <w:rsid w:val="001845D1"/>
    <w:rsid w:val="003030EE"/>
    <w:rsid w:val="00F3578E"/>
    <w:rsid w:val="00FA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6A89"/>
  <w15:chartTrackingRefBased/>
  <w15:docId w15:val="{D9F16835-CEAC-457C-8113-227E6B1F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30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EE"/>
    <w:pPr>
      <w:ind w:left="720"/>
      <w:contextualSpacing/>
    </w:pPr>
  </w:style>
  <w:style w:type="paragraph" w:styleId="Header">
    <w:name w:val="header"/>
    <w:basedOn w:val="Normal"/>
    <w:link w:val="HeaderChar"/>
    <w:uiPriority w:val="99"/>
    <w:unhideWhenUsed/>
    <w:rsid w:val="00303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0EE"/>
  </w:style>
  <w:style w:type="paragraph" w:styleId="Footer">
    <w:name w:val="footer"/>
    <w:basedOn w:val="Normal"/>
    <w:link w:val="FooterChar"/>
    <w:uiPriority w:val="99"/>
    <w:unhideWhenUsed/>
    <w:rsid w:val="00303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0EE"/>
  </w:style>
  <w:style w:type="paragraph" w:styleId="NoSpacing">
    <w:name w:val="No Spacing"/>
    <w:uiPriority w:val="1"/>
    <w:qFormat/>
    <w:rsid w:val="00303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2020-03-11T18:28:00Z</dcterms:created>
  <dcterms:modified xsi:type="dcterms:W3CDTF">2020-03-11T18:29:00Z</dcterms:modified>
</cp:coreProperties>
</file>