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C04" w:rsidRPr="003C7C04" w:rsidRDefault="003C7C04" w:rsidP="003C7C04">
      <w:pPr>
        <w:spacing w:line="360" w:lineRule="auto"/>
        <w:rPr>
          <w:rFonts w:ascii="Arial" w:hAnsi="Arial" w:cs="Arial"/>
          <w:sz w:val="24"/>
          <w:szCs w:val="32"/>
        </w:rPr>
      </w:pPr>
      <w:r w:rsidRPr="003C7C04">
        <w:rPr>
          <w:rFonts w:ascii="Arial" w:hAnsi="Arial" w:cs="Arial"/>
          <w:color w:val="FF0000"/>
          <w:sz w:val="24"/>
          <w:szCs w:val="32"/>
        </w:rPr>
        <w:t>Topic</w:t>
      </w:r>
      <w:r w:rsidRPr="003C7C04">
        <w:rPr>
          <w:rFonts w:ascii="Arial" w:hAnsi="Arial" w:cs="Arial"/>
          <w:sz w:val="24"/>
          <w:szCs w:val="32"/>
        </w:rPr>
        <w:t>: Change</w:t>
      </w:r>
      <w:r w:rsidR="00B1140A">
        <w:rPr>
          <w:rFonts w:ascii="Arial" w:hAnsi="Arial" w:cs="Arial"/>
          <w:sz w:val="24"/>
          <w:szCs w:val="32"/>
        </w:rPr>
        <w:t>s</w:t>
      </w:r>
      <w:r w:rsidRPr="003C7C04">
        <w:rPr>
          <w:rFonts w:ascii="Arial" w:hAnsi="Arial" w:cs="Arial"/>
          <w:sz w:val="24"/>
          <w:szCs w:val="32"/>
        </w:rPr>
        <w:t xml:space="preserve"> of corporate and social responsibility for Aviva</w:t>
      </w:r>
    </w:p>
    <w:p w:rsidR="003C7C04" w:rsidRPr="003C7C04" w:rsidRDefault="003C7C04" w:rsidP="003C7C04">
      <w:pPr>
        <w:spacing w:line="360" w:lineRule="auto"/>
        <w:rPr>
          <w:rFonts w:ascii="Arial" w:hAnsi="Arial" w:cs="Arial"/>
          <w:color w:val="FF0000"/>
          <w:sz w:val="24"/>
          <w:szCs w:val="32"/>
        </w:rPr>
      </w:pPr>
      <w:r w:rsidRPr="003C7C04">
        <w:rPr>
          <w:rFonts w:ascii="Arial" w:hAnsi="Arial" w:cs="Arial" w:hint="eastAsia"/>
          <w:color w:val="FF0000"/>
          <w:sz w:val="24"/>
          <w:szCs w:val="32"/>
        </w:rPr>
        <w:t>T</w:t>
      </w:r>
      <w:r w:rsidRPr="003C7C04">
        <w:rPr>
          <w:rFonts w:ascii="Arial" w:hAnsi="Arial" w:cs="Arial"/>
          <w:color w:val="FF0000"/>
          <w:sz w:val="24"/>
          <w:szCs w:val="32"/>
        </w:rPr>
        <w:t xml:space="preserve">his is a group </w:t>
      </w:r>
      <w:proofErr w:type="gramStart"/>
      <w:r w:rsidRPr="003C7C04">
        <w:rPr>
          <w:rFonts w:ascii="Arial" w:hAnsi="Arial" w:cs="Arial"/>
          <w:color w:val="FF0000"/>
          <w:sz w:val="24"/>
          <w:szCs w:val="32"/>
        </w:rPr>
        <w:t>assignment,</w:t>
      </w:r>
      <w:proofErr w:type="gramEnd"/>
      <w:r w:rsidRPr="003C7C04">
        <w:rPr>
          <w:rFonts w:ascii="Arial" w:hAnsi="Arial" w:cs="Arial"/>
          <w:color w:val="FF0000"/>
          <w:sz w:val="24"/>
          <w:szCs w:val="32"/>
        </w:rPr>
        <w:t xml:space="preserve"> my part is the company background.</w:t>
      </w:r>
    </w:p>
    <w:p w:rsidR="003C7C04" w:rsidRDefault="003C7C04" w:rsidP="003C7C04">
      <w:pPr>
        <w:spacing w:line="360" w:lineRule="auto"/>
        <w:rPr>
          <w:rFonts w:ascii="Arial" w:hAnsi="Arial" w:cs="Arial"/>
          <w:sz w:val="24"/>
          <w:szCs w:val="32"/>
        </w:rPr>
      </w:pPr>
      <w:r w:rsidRPr="003C7C04">
        <w:rPr>
          <w:rFonts w:ascii="Arial" w:hAnsi="Arial" w:cs="Arial"/>
          <w:color w:val="FF0000"/>
          <w:sz w:val="24"/>
          <w:szCs w:val="32"/>
        </w:rPr>
        <w:t>Assignment structure</w:t>
      </w:r>
      <w:r>
        <w:rPr>
          <w:rFonts w:ascii="Arial" w:hAnsi="Arial" w:cs="Arial"/>
          <w:sz w:val="24"/>
          <w:szCs w:val="32"/>
        </w:rPr>
        <w:t>:</w:t>
      </w:r>
    </w:p>
    <w:p w:rsidR="003C7C04" w:rsidRPr="003C7C04" w:rsidRDefault="003C7C04" w:rsidP="003C7C04">
      <w:pPr>
        <w:pStyle w:val="a3"/>
        <w:spacing w:before="0" w:beforeAutospacing="0" w:after="160" w:afterAutospacing="0"/>
        <w:rPr>
          <w:color w:val="000000"/>
        </w:rPr>
      </w:pPr>
      <w:r>
        <w:rPr>
          <w:rFonts w:ascii="Arial" w:hAnsi="Arial" w:cs="Arial"/>
          <w:szCs w:val="32"/>
        </w:rPr>
        <w:t xml:space="preserve"> </w:t>
      </w:r>
      <w:r w:rsidRPr="003C7C04">
        <w:rPr>
          <w:rFonts w:ascii="Arial" w:hAnsi="Arial" w:cs="Arial"/>
          <w:b/>
          <w:bCs/>
          <w:color w:val="000000"/>
        </w:rPr>
        <w:t xml:space="preserve">Introduction </w:t>
      </w:r>
    </w:p>
    <w:p w:rsidR="003C7C04" w:rsidRPr="003C7C04" w:rsidRDefault="003C7C04" w:rsidP="003C7C04">
      <w:pPr>
        <w:widowControl/>
        <w:spacing w:after="160"/>
        <w:jc w:val="left"/>
        <w:rPr>
          <w:rFonts w:ascii="宋体" w:eastAsia="宋体" w:hAnsi="宋体" w:cs="宋体"/>
          <w:color w:val="000000"/>
          <w:kern w:val="0"/>
          <w:sz w:val="24"/>
        </w:rPr>
      </w:pPr>
      <w:r w:rsidRPr="003C7C04">
        <w:rPr>
          <w:rFonts w:ascii="Arial" w:eastAsia="宋体" w:hAnsi="Arial" w:cs="Arial"/>
          <w:b/>
          <w:bCs/>
          <w:color w:val="000000"/>
          <w:kern w:val="0"/>
          <w:sz w:val="24"/>
        </w:rPr>
        <w:t xml:space="preserve">Company Background </w:t>
      </w:r>
    </w:p>
    <w:p w:rsidR="003C7C04" w:rsidRPr="003C7C04" w:rsidRDefault="003C7C04" w:rsidP="003C7C04">
      <w:pPr>
        <w:widowControl/>
        <w:spacing w:after="160"/>
        <w:jc w:val="left"/>
        <w:rPr>
          <w:rFonts w:ascii="宋体" w:eastAsia="宋体" w:hAnsi="宋体" w:cs="宋体"/>
          <w:color w:val="000000"/>
          <w:kern w:val="0"/>
          <w:sz w:val="24"/>
        </w:rPr>
      </w:pPr>
      <w:r w:rsidRPr="003C7C04">
        <w:rPr>
          <w:rFonts w:ascii="Arial" w:eastAsia="宋体" w:hAnsi="Arial" w:cs="Arial"/>
          <w:b/>
          <w:bCs/>
          <w:color w:val="000000"/>
          <w:kern w:val="0"/>
          <w:sz w:val="24"/>
        </w:rPr>
        <w:t>Contribution to Community</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volunteering</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charity work</w:t>
      </w:r>
    </w:p>
    <w:p w:rsidR="003C7C04" w:rsidRPr="003C7C04" w:rsidRDefault="003C7C04" w:rsidP="003C7C04">
      <w:pPr>
        <w:widowControl/>
        <w:spacing w:after="160"/>
        <w:jc w:val="left"/>
        <w:rPr>
          <w:rFonts w:ascii="宋体" w:eastAsia="宋体" w:hAnsi="宋体" w:cs="宋体"/>
          <w:color w:val="000000"/>
          <w:kern w:val="0"/>
          <w:sz w:val="24"/>
        </w:rPr>
      </w:pPr>
      <w:r w:rsidRPr="003C7C04">
        <w:rPr>
          <w:rFonts w:ascii="Arial" w:eastAsia="宋体" w:hAnsi="Arial" w:cs="Arial"/>
          <w:b/>
          <w:bCs/>
          <w:color w:val="000000"/>
          <w:kern w:val="0"/>
          <w:sz w:val="24"/>
        </w:rPr>
        <w:t>Legal influence</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Government regulations</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Restrictions </w:t>
      </w:r>
    </w:p>
    <w:p w:rsidR="003C7C04" w:rsidRPr="003C7C04" w:rsidRDefault="003C7C04" w:rsidP="003C7C04">
      <w:pPr>
        <w:widowControl/>
        <w:spacing w:after="160"/>
        <w:jc w:val="left"/>
        <w:rPr>
          <w:rFonts w:ascii="宋体" w:eastAsia="宋体" w:hAnsi="宋体" w:cs="宋体"/>
          <w:color w:val="000000"/>
          <w:kern w:val="0"/>
          <w:sz w:val="24"/>
        </w:rPr>
      </w:pPr>
      <w:r w:rsidRPr="003C7C04">
        <w:rPr>
          <w:rFonts w:ascii="Arial" w:eastAsia="宋体" w:hAnsi="Arial" w:cs="Arial"/>
          <w:b/>
          <w:bCs/>
          <w:color w:val="000000"/>
          <w:kern w:val="0"/>
          <w:sz w:val="24"/>
        </w:rPr>
        <w:t>Pressure from society-Logan Richardson </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Pressure groups/ environmental groups and their influence</w:t>
      </w:r>
    </w:p>
    <w:p w:rsidR="003C7C04" w:rsidRPr="003C7C04" w:rsidRDefault="003C7C04" w:rsidP="003C7C04">
      <w:pPr>
        <w:widowControl/>
        <w:spacing w:before="240" w:after="240"/>
        <w:jc w:val="left"/>
        <w:rPr>
          <w:rFonts w:ascii="宋体" w:eastAsia="宋体" w:hAnsi="宋体" w:cs="宋体"/>
          <w:color w:val="000000"/>
          <w:kern w:val="0"/>
          <w:sz w:val="24"/>
        </w:rPr>
      </w:pPr>
      <w:r w:rsidRPr="003C7C04">
        <w:rPr>
          <w:rFonts w:ascii="Arial" w:eastAsia="宋体" w:hAnsi="Arial" w:cs="Arial"/>
          <w:b/>
          <w:bCs/>
          <w:color w:val="000000"/>
          <w:kern w:val="0"/>
          <w:sz w:val="24"/>
        </w:rPr>
        <w:t>Theories which can be applied to the change (models)</w:t>
      </w:r>
    </w:p>
    <w:p w:rsidR="003C7C04" w:rsidRPr="003C7C04" w:rsidRDefault="003C7C04" w:rsidP="003C7C04">
      <w:pPr>
        <w:widowControl/>
        <w:numPr>
          <w:ilvl w:val="0"/>
          <w:numId w:val="2"/>
        </w:numPr>
        <w:spacing w:before="240"/>
        <w:jc w:val="left"/>
        <w:textAlignment w:val="baseline"/>
        <w:rPr>
          <w:rFonts w:ascii="Arial" w:eastAsia="宋体" w:hAnsi="Arial" w:cs="Arial"/>
          <w:i/>
          <w:iCs/>
          <w:color w:val="000000"/>
          <w:kern w:val="0"/>
          <w:sz w:val="24"/>
        </w:rPr>
      </w:pPr>
      <w:r w:rsidRPr="003C7C04">
        <w:rPr>
          <w:rFonts w:ascii="Arial" w:eastAsia="宋体" w:hAnsi="Arial" w:cs="Arial"/>
          <w:i/>
          <w:iCs/>
          <w:color w:val="000000"/>
          <w:kern w:val="0"/>
          <w:sz w:val="24"/>
        </w:rPr>
        <w:t>Van De Ven and Poole </w:t>
      </w:r>
    </w:p>
    <w:p w:rsidR="003C7C04" w:rsidRPr="003C7C04" w:rsidRDefault="003C7C04" w:rsidP="003C7C04">
      <w:pPr>
        <w:widowControl/>
        <w:numPr>
          <w:ilvl w:val="0"/>
          <w:numId w:val="2"/>
        </w:numPr>
        <w:jc w:val="left"/>
        <w:textAlignment w:val="baseline"/>
        <w:rPr>
          <w:rFonts w:ascii="Arial" w:eastAsia="宋体" w:hAnsi="Arial" w:cs="Arial"/>
          <w:i/>
          <w:iCs/>
          <w:color w:val="000000"/>
          <w:kern w:val="0"/>
          <w:sz w:val="24"/>
        </w:rPr>
      </w:pPr>
      <w:r w:rsidRPr="003C7C04">
        <w:rPr>
          <w:rFonts w:ascii="Arial" w:eastAsia="宋体" w:hAnsi="Arial" w:cs="Arial"/>
          <w:i/>
          <w:iCs/>
          <w:color w:val="000000"/>
          <w:kern w:val="0"/>
          <w:sz w:val="24"/>
        </w:rPr>
        <w:t>Lewin’s model </w:t>
      </w:r>
    </w:p>
    <w:p w:rsidR="003C7C04" w:rsidRPr="003C7C04" w:rsidRDefault="003C7C04" w:rsidP="003C7C04">
      <w:pPr>
        <w:widowControl/>
        <w:numPr>
          <w:ilvl w:val="0"/>
          <w:numId w:val="2"/>
        </w:numPr>
        <w:spacing w:after="240"/>
        <w:jc w:val="left"/>
        <w:textAlignment w:val="baseline"/>
        <w:rPr>
          <w:rFonts w:ascii="Arial" w:eastAsia="宋体" w:hAnsi="Arial" w:cs="Arial"/>
          <w:i/>
          <w:iCs/>
          <w:color w:val="000000"/>
          <w:kern w:val="0"/>
          <w:sz w:val="22"/>
          <w:szCs w:val="22"/>
        </w:rPr>
      </w:pPr>
      <w:r w:rsidRPr="003C7C04">
        <w:rPr>
          <w:rFonts w:ascii="Arial" w:eastAsia="宋体" w:hAnsi="Arial" w:cs="Arial"/>
          <w:i/>
          <w:iCs/>
          <w:color w:val="000000"/>
          <w:kern w:val="0"/>
          <w:sz w:val="22"/>
          <w:szCs w:val="22"/>
        </w:rPr>
        <w:t xml:space="preserve">Nadler and </w:t>
      </w:r>
      <w:proofErr w:type="spellStart"/>
      <w:r w:rsidRPr="003C7C04">
        <w:rPr>
          <w:rFonts w:ascii="Arial" w:eastAsia="宋体" w:hAnsi="Arial" w:cs="Arial"/>
          <w:i/>
          <w:iCs/>
          <w:color w:val="000000"/>
          <w:kern w:val="0"/>
          <w:sz w:val="22"/>
          <w:szCs w:val="22"/>
        </w:rPr>
        <w:t>Tushman</w:t>
      </w:r>
      <w:proofErr w:type="spellEnd"/>
      <w:r w:rsidRPr="003C7C04">
        <w:rPr>
          <w:rFonts w:ascii="Arial" w:eastAsia="宋体" w:hAnsi="Arial" w:cs="Arial"/>
          <w:i/>
          <w:iCs/>
          <w:color w:val="000000"/>
          <w:kern w:val="0"/>
          <w:sz w:val="22"/>
          <w:szCs w:val="22"/>
        </w:rPr>
        <w:t> </w:t>
      </w:r>
    </w:p>
    <w:p w:rsidR="003C7C04" w:rsidRPr="003C7C04" w:rsidRDefault="003C7C04" w:rsidP="003C7C04">
      <w:pPr>
        <w:widowControl/>
        <w:spacing w:after="160"/>
        <w:jc w:val="left"/>
        <w:rPr>
          <w:rFonts w:ascii="宋体" w:eastAsia="宋体" w:hAnsi="宋体" w:cs="宋体"/>
          <w:color w:val="000000"/>
          <w:kern w:val="0"/>
          <w:sz w:val="24"/>
        </w:rPr>
      </w:pPr>
      <w:r w:rsidRPr="003C7C04">
        <w:rPr>
          <w:rFonts w:ascii="Arial" w:eastAsia="宋体" w:hAnsi="Arial" w:cs="Arial"/>
          <w:b/>
          <w:bCs/>
          <w:color w:val="000000"/>
          <w:kern w:val="0"/>
          <w:sz w:val="24"/>
        </w:rPr>
        <w:t>Stakeholders analysis</w:t>
      </w:r>
    </w:p>
    <w:p w:rsidR="003C7C04" w:rsidRPr="003C7C04" w:rsidRDefault="003C7C04" w:rsidP="003C7C04">
      <w:pPr>
        <w:widowControl/>
        <w:spacing w:after="160"/>
        <w:ind w:left="360" w:hanging="360"/>
        <w:jc w:val="left"/>
        <w:rPr>
          <w:rFonts w:ascii="宋体" w:eastAsia="宋体" w:hAnsi="宋体" w:cs="宋体"/>
          <w:color w:val="000000"/>
          <w:kern w:val="0"/>
          <w:sz w:val="24"/>
        </w:rPr>
      </w:pPr>
      <w:r w:rsidRPr="003C7C04">
        <w:rPr>
          <w:rFonts w:ascii="Arial" w:eastAsia="宋体" w:hAnsi="Arial" w:cs="Arial"/>
          <w:color w:val="000000"/>
          <w:kern w:val="0"/>
          <w:sz w:val="24"/>
        </w:rPr>
        <w:t>-</w:t>
      </w:r>
      <w:r w:rsidRPr="003C7C04">
        <w:rPr>
          <w:rFonts w:ascii="Times New Roman" w:eastAsia="宋体" w:hAnsi="Times New Roman" w:cs="Times New Roman"/>
          <w:color w:val="000000"/>
          <w:kern w:val="0"/>
          <w:sz w:val="14"/>
          <w:szCs w:val="14"/>
        </w:rPr>
        <w:t xml:space="preserve">       </w:t>
      </w:r>
      <w:r w:rsidRPr="003C7C04">
        <w:rPr>
          <w:rFonts w:ascii="Arial" w:eastAsia="宋体" w:hAnsi="Arial" w:cs="Arial"/>
          <w:i/>
          <w:iCs/>
          <w:color w:val="000000"/>
          <w:kern w:val="0"/>
          <w:sz w:val="24"/>
        </w:rPr>
        <w:t>Employees, clients, shareholders</w:t>
      </w:r>
    </w:p>
    <w:p w:rsidR="003C7C04" w:rsidRDefault="003C7C04" w:rsidP="003C7C04">
      <w:pPr>
        <w:widowControl/>
        <w:spacing w:after="160"/>
        <w:jc w:val="left"/>
        <w:rPr>
          <w:rFonts w:ascii="Arial" w:eastAsia="宋体" w:hAnsi="Arial" w:cs="Arial"/>
          <w:b/>
          <w:bCs/>
          <w:color w:val="000000"/>
          <w:kern w:val="0"/>
          <w:sz w:val="24"/>
        </w:rPr>
      </w:pPr>
      <w:r w:rsidRPr="003C7C04">
        <w:rPr>
          <w:rFonts w:ascii="Arial" w:eastAsia="宋体" w:hAnsi="Arial" w:cs="Arial"/>
          <w:b/>
          <w:bCs/>
          <w:color w:val="000000"/>
          <w:kern w:val="0"/>
          <w:sz w:val="24"/>
        </w:rPr>
        <w:t>Conclusion</w:t>
      </w:r>
    </w:p>
    <w:p w:rsidR="00731126" w:rsidRPr="00731126" w:rsidRDefault="00731126" w:rsidP="00731126">
      <w:pPr>
        <w:pStyle w:val="a3"/>
        <w:spacing w:line="360" w:lineRule="auto"/>
        <w:rPr>
          <w:rFonts w:ascii="Arial" w:hAnsi="Arial" w:cs="Arial" w:hint="eastAsia"/>
        </w:rPr>
      </w:pPr>
      <w:r w:rsidRPr="00731126">
        <w:rPr>
          <w:rFonts w:ascii="Arial" w:hAnsi="Arial" w:cs="Arial"/>
          <w:color w:val="FF0000"/>
        </w:rPr>
        <w:t>Referenc</w:t>
      </w:r>
      <w:r>
        <w:rPr>
          <w:rFonts w:ascii="Arial" w:hAnsi="Arial" w:cs="Arial"/>
          <w:color w:val="FF0000"/>
        </w:rPr>
        <w:t>e</w:t>
      </w:r>
      <w:r>
        <w:rPr>
          <w:rFonts w:ascii="Arial" w:hAnsi="Arial" w:cs="Arial"/>
        </w:rPr>
        <w:t>: Harvard style</w:t>
      </w:r>
    </w:p>
    <w:p w:rsidR="00731126" w:rsidRDefault="00731126" w:rsidP="00731126">
      <w:pPr>
        <w:pStyle w:val="a3"/>
        <w:spacing w:beforeAutospacing="0" w:afterAutospacing="0" w:line="360" w:lineRule="auto"/>
        <w:jc w:val="both"/>
        <w:rPr>
          <w:bCs/>
        </w:rPr>
      </w:pPr>
      <w:r w:rsidRPr="001A4AE8">
        <w:rPr>
          <w:rFonts w:ascii="Arial" w:hAnsi="Arial" w:cs="Arial"/>
          <w:bCs/>
          <w:color w:val="FF0000"/>
        </w:rPr>
        <w:t>Please indicate in the article where you use the references.</w:t>
      </w:r>
      <w:r>
        <w:rPr>
          <w:rFonts w:ascii="Arial" w:hAnsi="Arial" w:cs="Arial"/>
          <w:bCs/>
        </w:rPr>
        <w:t xml:space="preserve"> For example, </w:t>
      </w:r>
      <w:proofErr w:type="gramStart"/>
      <w:r>
        <w:rPr>
          <w:rStyle w:val="s1"/>
          <w:rFonts w:ascii="Arial" w:hAnsi="Arial" w:cs="Arial"/>
          <w:bCs/>
          <w:color w:val="1A1A1A"/>
          <w:lang w:bidi="ar"/>
        </w:rPr>
        <w:t>Among</w:t>
      </w:r>
      <w:proofErr w:type="gramEnd"/>
      <w:r>
        <w:rPr>
          <w:rStyle w:val="s1"/>
          <w:rFonts w:ascii="Arial" w:hAnsi="Arial" w:cs="Arial"/>
          <w:bCs/>
          <w:color w:val="1A1A1A"/>
          <w:lang w:bidi="ar"/>
        </w:rPr>
        <w:t xml:space="preserve"> them, digital advertising expenditure increased by 15.9%, reaching 83 billion in 2017 </w:t>
      </w:r>
      <w:r w:rsidRPr="001A4AE8">
        <w:rPr>
          <w:rStyle w:val="s1"/>
          <w:rFonts w:ascii="Arial" w:hAnsi="Arial" w:cs="Arial"/>
          <w:b/>
          <w:color w:val="FF0000"/>
          <w:lang w:bidi="ar"/>
        </w:rPr>
        <w:t>(David, 2017)</w:t>
      </w:r>
      <w:r>
        <w:rPr>
          <w:rStyle w:val="s1"/>
          <w:rFonts w:ascii="Arial" w:hAnsi="Arial" w:cs="Arial"/>
          <w:bCs/>
          <w:color w:val="1A1A1A"/>
          <w:lang w:bidi="ar"/>
        </w:rPr>
        <w:t>. Advertising is one of the important factors to create and maintain a product, which is conducive to establishing a good brand image, thus helping to build consumer brand loyalty.</w:t>
      </w:r>
    </w:p>
    <w:p w:rsidR="00731126" w:rsidRPr="003C7C04" w:rsidRDefault="00731126" w:rsidP="003C7C04">
      <w:pPr>
        <w:widowControl/>
        <w:spacing w:after="160"/>
        <w:jc w:val="left"/>
        <w:rPr>
          <w:rFonts w:ascii="宋体" w:eastAsia="宋体" w:hAnsi="宋体" w:cs="宋体"/>
          <w:color w:val="000000"/>
          <w:kern w:val="0"/>
          <w:sz w:val="24"/>
        </w:rPr>
      </w:pPr>
    </w:p>
    <w:p w:rsidR="00731126" w:rsidRDefault="00731126" w:rsidP="003C7C04">
      <w:pPr>
        <w:spacing w:line="360" w:lineRule="auto"/>
        <w:rPr>
          <w:rFonts w:ascii="Arial" w:hAnsi="Arial" w:cs="Arial"/>
          <w:color w:val="FF0000"/>
          <w:sz w:val="24"/>
          <w:szCs w:val="32"/>
        </w:rPr>
      </w:pPr>
      <w:r>
        <w:rPr>
          <w:rFonts w:ascii="Arial" w:hAnsi="Arial" w:cs="Arial"/>
          <w:noProof/>
        </w:rPr>
        <w:lastRenderedPageBreak/>
        <w:drawing>
          <wp:inline distT="0" distB="0" distL="114300" distR="114300" wp14:anchorId="4F37E446" wp14:editId="2E3D21D4">
            <wp:extent cx="5270500" cy="2693628"/>
            <wp:effectExtent l="0" t="0" r="0" b="0"/>
            <wp:docPr id="1" name="图片 1" descr="屏幕快照 2019-11-25 下午11.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快照 2019-11-25 下午11.29.42"/>
                    <pic:cNvPicPr>
                      <a:picLocks noChangeAspect="1"/>
                    </pic:cNvPicPr>
                  </pic:nvPicPr>
                  <pic:blipFill>
                    <a:blip r:embed="rId5"/>
                    <a:stretch>
                      <a:fillRect/>
                    </a:stretch>
                  </pic:blipFill>
                  <pic:spPr>
                    <a:xfrm>
                      <a:off x="0" y="0"/>
                      <a:ext cx="5270500" cy="2693628"/>
                    </a:xfrm>
                    <a:prstGeom prst="rect">
                      <a:avLst/>
                    </a:prstGeom>
                  </pic:spPr>
                </pic:pic>
              </a:graphicData>
            </a:graphic>
          </wp:inline>
        </w:drawing>
      </w:r>
    </w:p>
    <w:p w:rsidR="00731126" w:rsidRDefault="00731126" w:rsidP="003C7C04">
      <w:pPr>
        <w:spacing w:line="360" w:lineRule="auto"/>
        <w:rPr>
          <w:rFonts w:ascii="Arial" w:hAnsi="Arial" w:cs="Arial" w:hint="eastAsia"/>
          <w:color w:val="FF0000"/>
          <w:sz w:val="24"/>
          <w:szCs w:val="32"/>
        </w:rPr>
      </w:pPr>
      <w:r>
        <w:rPr>
          <w:rFonts w:ascii="Arial" w:hAnsi="Arial" w:cs="Arial"/>
          <w:b/>
          <w:noProof/>
        </w:rPr>
        <w:drawing>
          <wp:inline distT="0" distB="0" distL="114300" distR="114300" wp14:anchorId="4D7C8279" wp14:editId="3CA64468">
            <wp:extent cx="4991100" cy="4351954"/>
            <wp:effectExtent l="0" t="0" r="0" b="4445"/>
            <wp:docPr id="2" name="图片 2" descr="屏幕快照 2019-11-25 下午11.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屏幕快照 2019-11-25 下午11.34.34"/>
                    <pic:cNvPicPr>
                      <a:picLocks noChangeAspect="1"/>
                    </pic:cNvPicPr>
                  </pic:nvPicPr>
                  <pic:blipFill>
                    <a:blip r:embed="rId6"/>
                    <a:stretch>
                      <a:fillRect/>
                    </a:stretch>
                  </pic:blipFill>
                  <pic:spPr>
                    <a:xfrm>
                      <a:off x="0" y="0"/>
                      <a:ext cx="4994947" cy="4355308"/>
                    </a:xfrm>
                    <a:prstGeom prst="rect">
                      <a:avLst/>
                    </a:prstGeom>
                  </pic:spPr>
                </pic:pic>
              </a:graphicData>
            </a:graphic>
          </wp:inline>
        </w:drawing>
      </w:r>
    </w:p>
    <w:p w:rsidR="003C7C04" w:rsidRDefault="003C7C04" w:rsidP="003C7C04">
      <w:pPr>
        <w:spacing w:line="360" w:lineRule="auto"/>
        <w:rPr>
          <w:rFonts w:ascii="Arial" w:hAnsi="Arial" w:cs="Arial"/>
          <w:sz w:val="24"/>
          <w:szCs w:val="32"/>
        </w:rPr>
      </w:pPr>
      <w:r w:rsidRPr="003C7C04">
        <w:rPr>
          <w:rFonts w:ascii="Arial" w:hAnsi="Arial" w:cs="Arial" w:hint="eastAsia"/>
          <w:color w:val="FF0000"/>
          <w:sz w:val="24"/>
          <w:szCs w:val="32"/>
        </w:rPr>
        <w:t>I</w:t>
      </w:r>
      <w:r w:rsidRPr="003C7C04">
        <w:rPr>
          <w:rFonts w:ascii="Arial" w:hAnsi="Arial" w:cs="Arial"/>
          <w:color w:val="FF0000"/>
          <w:sz w:val="24"/>
          <w:szCs w:val="32"/>
        </w:rPr>
        <w:t>nformation</w:t>
      </w:r>
      <w:r>
        <w:rPr>
          <w:rFonts w:ascii="Arial" w:hAnsi="Arial" w:cs="Arial"/>
          <w:sz w:val="24"/>
          <w:szCs w:val="32"/>
        </w:rPr>
        <w:t>:</w:t>
      </w:r>
    </w:p>
    <w:p w:rsidR="003C7C04" w:rsidRDefault="003C7C04" w:rsidP="003C7C04">
      <w:pPr>
        <w:spacing w:line="360" w:lineRule="auto"/>
        <w:rPr>
          <w:rFonts w:ascii="Arial" w:hAnsi="Arial" w:cs="Arial"/>
          <w:sz w:val="24"/>
          <w:szCs w:val="32"/>
        </w:rPr>
      </w:pPr>
      <w:r w:rsidRPr="003C7C04">
        <w:rPr>
          <w:rFonts w:ascii="Arial" w:hAnsi="Arial" w:cs="Arial"/>
          <w:sz w:val="24"/>
          <w:szCs w:val="32"/>
        </w:rPr>
        <w:t xml:space="preserve">Aviva is one of the largest and most successful insurance companies in the world today which is leading international savings, retirement and insurance business, serving 33 million customers. The insurance market is very competitive, and if Aviva wants to progress and grow, it must constantly adapt to market demand and change, in order to maintain its position and reputation </w:t>
      </w:r>
      <w:r w:rsidRPr="003C7C04">
        <w:rPr>
          <w:rFonts w:ascii="Arial" w:hAnsi="Arial" w:cs="Arial"/>
          <w:sz w:val="24"/>
          <w:szCs w:val="32"/>
        </w:rPr>
        <w:lastRenderedPageBreak/>
        <w:t>in the insurance industry.</w:t>
      </w:r>
    </w:p>
    <w:p w:rsidR="003C7C04" w:rsidRDefault="003C7C04" w:rsidP="003C7C04">
      <w:pPr>
        <w:spacing w:line="360" w:lineRule="auto"/>
        <w:rPr>
          <w:rFonts w:ascii="Arial" w:hAnsi="Arial" w:cs="Arial"/>
          <w:sz w:val="24"/>
          <w:szCs w:val="32"/>
        </w:rPr>
      </w:pP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hAnsi="Arial" w:cs="Arial"/>
          <w:kern w:val="0"/>
          <w:sz w:val="24"/>
        </w:rPr>
        <w:t xml:space="preserve">Corporate and social responsibility </w:t>
      </w:r>
      <w:r w:rsidRPr="004C124D">
        <w:rPr>
          <w:rFonts w:ascii="Arial" w:eastAsia=".PingFang SC" w:hAnsi="Arial" w:cs="Arial"/>
          <w:kern w:val="0"/>
          <w:sz w:val="24"/>
        </w:rPr>
        <w:t>(CSR)</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The face of CSR is changing - it’s no longer a fluffy nice to have department but now links in to form the backbone of Aviva goals and strategy.</w:t>
      </w:r>
    </w:p>
    <w:p w:rsidR="003C7C04" w:rsidRPr="004C124D" w:rsidRDefault="003C7C04" w:rsidP="003C7C04">
      <w:pPr>
        <w:numPr>
          <w:ilvl w:val="0"/>
          <w:numId w:val="3"/>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volunteering</w:t>
      </w:r>
    </w:p>
    <w:p w:rsidR="003C7C04" w:rsidRPr="004C124D" w:rsidRDefault="003C7C04" w:rsidP="003C7C04">
      <w:pPr>
        <w:numPr>
          <w:ilvl w:val="0"/>
          <w:numId w:val="3"/>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understand what is important to staff, the business and local charities</w:t>
      </w:r>
    </w:p>
    <w:p w:rsidR="003C7C04" w:rsidRPr="004C124D" w:rsidRDefault="003C7C04" w:rsidP="003C7C04">
      <w:pPr>
        <w:numPr>
          <w:ilvl w:val="0"/>
          <w:numId w:val="3"/>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 xml:space="preserve">Reviewed current process and established points we can change </w:t>
      </w:r>
    </w:p>
    <w:p w:rsidR="003C7C04" w:rsidRPr="004C124D" w:rsidRDefault="003C7C04" w:rsidP="003C7C04">
      <w:pPr>
        <w:numPr>
          <w:ilvl w:val="0"/>
          <w:numId w:val="3"/>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 xml:space="preserve">Surveys for staff feedback </w:t>
      </w:r>
    </w:p>
    <w:p w:rsidR="003C7C04" w:rsidRPr="004C124D" w:rsidRDefault="003C7C04" w:rsidP="003C7C04">
      <w:pPr>
        <w:numPr>
          <w:ilvl w:val="0"/>
          <w:numId w:val="3"/>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Trials of new thinking to test appetite (Aviva community fund and ethical investments)</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The sustainability and Climate strategy</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invest in sustainable growth, excel at the fundamentals, deliver great customer outcomes</w:t>
      </w:r>
    </w:p>
    <w:p w:rsidR="003C7C04" w:rsidRPr="004C124D" w:rsidRDefault="003C7C04" w:rsidP="003C7C04">
      <w:pPr>
        <w:numPr>
          <w:ilvl w:val="0"/>
          <w:numId w:val="4"/>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Climate change poses significant risk to Aviva.</w:t>
      </w:r>
    </w:p>
    <w:p w:rsidR="003C7C04" w:rsidRPr="004C124D" w:rsidRDefault="003C7C04" w:rsidP="003C7C04">
      <w:pPr>
        <w:numPr>
          <w:ilvl w:val="0"/>
          <w:numId w:val="4"/>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moving the world to a low carbon future</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The climate strategy</w:t>
      </w:r>
    </w:p>
    <w:p w:rsidR="003C7C04" w:rsidRPr="004C124D" w:rsidRDefault="003C7C04" w:rsidP="003C7C04">
      <w:pPr>
        <w:numPr>
          <w:ilvl w:val="0"/>
          <w:numId w:val="5"/>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Modern Slave Trade</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Aviva already expressed support for this proposal during the government review of the Modern Slavery Act 2015, and we disclosed our support for a register in our modern slavery statement.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a robust vetting </w:t>
      </w:r>
      <w:proofErr w:type="gramStart"/>
      <w:r w:rsidRPr="004C124D">
        <w:rPr>
          <w:rFonts w:ascii="Arial" w:eastAsia=".PingFang SC" w:hAnsi="Arial" w:cs="Arial"/>
          <w:kern w:val="0"/>
          <w:sz w:val="24"/>
        </w:rPr>
        <w:t>process</w:t>
      </w:r>
      <w:proofErr w:type="gramEnd"/>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Volunteering</w:t>
      </w:r>
    </w:p>
    <w:p w:rsidR="003C7C04" w:rsidRPr="004C124D" w:rsidRDefault="003C7C04" w:rsidP="003C7C04">
      <w:pPr>
        <w:numPr>
          <w:ilvl w:val="0"/>
          <w:numId w:val="6"/>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t>Community</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3 days paid volunteering</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Local charities</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Over 35000 hours of volunteering</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volunteering </w:t>
      </w:r>
      <w:proofErr w:type="gramStart"/>
      <w:r w:rsidRPr="004C124D">
        <w:rPr>
          <w:rFonts w:ascii="Arial" w:eastAsia=".PingFang SC" w:hAnsi="Arial" w:cs="Arial"/>
          <w:kern w:val="0"/>
          <w:sz w:val="24"/>
        </w:rPr>
        <w:t>hours  in</w:t>
      </w:r>
      <w:proofErr w:type="gramEnd"/>
      <w:r w:rsidRPr="004C124D">
        <w:rPr>
          <w:rFonts w:ascii="Arial" w:eastAsia=".PingFang SC" w:hAnsi="Arial" w:cs="Arial"/>
          <w:kern w:val="0"/>
          <w:sz w:val="24"/>
        </w:rPr>
        <w:t xml:space="preserve"> 2019  is almost triple the 2018 number</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Re-engage 2020 tea party a collaborative initiative linking</w:t>
      </w:r>
    </w:p>
    <w:p w:rsidR="003C7C04" w:rsidRPr="004C124D" w:rsidRDefault="003C7C04" w:rsidP="003C7C04">
      <w:pPr>
        <w:numPr>
          <w:ilvl w:val="0"/>
          <w:numId w:val="7"/>
        </w:numPr>
        <w:autoSpaceDE w:val="0"/>
        <w:autoSpaceDN w:val="0"/>
        <w:adjustRightInd w:val="0"/>
        <w:spacing w:line="360" w:lineRule="auto"/>
        <w:ind w:left="0" w:firstLine="0"/>
        <w:jc w:val="left"/>
        <w:rPr>
          <w:rFonts w:ascii="Arial" w:eastAsia=".PingFang SC" w:hAnsi="Arial" w:cs="Arial"/>
          <w:kern w:val="0"/>
          <w:sz w:val="24"/>
        </w:rPr>
      </w:pPr>
      <w:r w:rsidRPr="004C124D">
        <w:rPr>
          <w:rFonts w:ascii="Arial" w:eastAsia=".PingFang SC" w:hAnsi="Arial" w:cs="Arial"/>
          <w:kern w:val="0"/>
          <w:sz w:val="24"/>
        </w:rPr>
        <w:lastRenderedPageBreak/>
        <w:t>How?</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Volunteer Co-Ordinator role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Volunteering roadshow</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Web page to list opportunities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Took the complex out by creating generic risk assessments for staff</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Created the charity connections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Offered opportunities at regular intervals</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Made volunteering fun – </w:t>
      </w:r>
      <w:proofErr w:type="spellStart"/>
      <w:r w:rsidRPr="004C124D">
        <w:rPr>
          <w:rFonts w:ascii="Arial" w:eastAsia=".PingFang SC" w:hAnsi="Arial" w:cs="Arial"/>
          <w:kern w:val="0"/>
          <w:sz w:val="24"/>
        </w:rPr>
        <w:t>its</w:t>
      </w:r>
      <w:proofErr w:type="spellEnd"/>
      <w:r w:rsidRPr="004C124D">
        <w:rPr>
          <w:rFonts w:ascii="Arial" w:eastAsia=".PingFang SC" w:hAnsi="Arial" w:cs="Arial"/>
          <w:kern w:val="0"/>
          <w:sz w:val="24"/>
        </w:rPr>
        <w:t xml:space="preserve"> not all litter </w:t>
      </w:r>
      <w:proofErr w:type="gramStart"/>
      <w:r w:rsidRPr="004C124D">
        <w:rPr>
          <w:rFonts w:ascii="Arial" w:eastAsia=".PingFang SC" w:hAnsi="Arial" w:cs="Arial"/>
          <w:kern w:val="0"/>
          <w:sz w:val="24"/>
        </w:rPr>
        <w:t>picking  e.g.</w:t>
      </w:r>
      <w:proofErr w:type="gramEnd"/>
      <w:r w:rsidRPr="004C124D">
        <w:rPr>
          <w:rFonts w:ascii="Arial" w:eastAsia=".PingFang SC" w:hAnsi="Arial" w:cs="Arial"/>
          <w:kern w:val="0"/>
          <w:sz w:val="24"/>
        </w:rPr>
        <w:t xml:space="preserve"> kayak clean ups, football 180</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The smaller initiatives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•Car park solar panels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•Single use plastics</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w:t>
      </w:r>
      <w:proofErr w:type="gramStart"/>
      <w:r w:rsidRPr="004C124D">
        <w:rPr>
          <w:rFonts w:ascii="Arial" w:eastAsia=".PingFang SC" w:hAnsi="Arial" w:cs="Arial"/>
          <w:kern w:val="0"/>
          <w:sz w:val="24"/>
        </w:rPr>
        <w:t>Bee hives</w:t>
      </w:r>
      <w:proofErr w:type="gramEnd"/>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•Food bank drop off stations in Aviva</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•Wind turbine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 xml:space="preserve">•Bra banks </w:t>
      </w:r>
    </w:p>
    <w:p w:rsidR="003C7C04" w:rsidRPr="004C124D" w:rsidRDefault="003C7C04" w:rsidP="003C7C04">
      <w:pPr>
        <w:autoSpaceDE w:val="0"/>
        <w:autoSpaceDN w:val="0"/>
        <w:adjustRightInd w:val="0"/>
        <w:spacing w:line="360" w:lineRule="auto"/>
        <w:jc w:val="left"/>
        <w:rPr>
          <w:rFonts w:ascii="Arial" w:eastAsia=".PingFang SC" w:hAnsi="Arial" w:cs="Arial"/>
          <w:kern w:val="0"/>
          <w:sz w:val="24"/>
        </w:rPr>
      </w:pPr>
      <w:r w:rsidRPr="004C124D">
        <w:rPr>
          <w:rFonts w:ascii="Arial" w:eastAsia=".PingFang SC" w:hAnsi="Arial" w:cs="Arial"/>
          <w:kern w:val="0"/>
          <w:sz w:val="24"/>
        </w:rPr>
        <w:t>•Wellbeing initiative</w:t>
      </w:r>
    </w:p>
    <w:p w:rsidR="003C7C04" w:rsidRPr="003C7C04" w:rsidRDefault="003C7C04" w:rsidP="003C7C04">
      <w:pPr>
        <w:spacing w:line="360" w:lineRule="auto"/>
        <w:rPr>
          <w:rFonts w:ascii="Arial" w:hAnsi="Arial" w:cs="Arial"/>
          <w:sz w:val="24"/>
          <w:szCs w:val="32"/>
        </w:rPr>
      </w:pPr>
    </w:p>
    <w:sectPr w:rsidR="003C7C04" w:rsidRPr="003C7C04" w:rsidSect="00FA2DA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ingFang SC">
    <w:altName w:val="微软雅黑"/>
    <w:panose1 w:val="020B0604020202020204"/>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3601FC"/>
    <w:multiLevelType w:val="multilevel"/>
    <w:tmpl w:val="7FF2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1187E"/>
    <w:multiLevelType w:val="multilevel"/>
    <w:tmpl w:val="7D12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04"/>
    <w:rsid w:val="003C7C04"/>
    <w:rsid w:val="00731126"/>
    <w:rsid w:val="00B1140A"/>
    <w:rsid w:val="00FA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B0D6B2"/>
  <w15:chartTrackingRefBased/>
  <w15:docId w15:val="{E02C2299-F7E9-D540-BA2E-DC97B36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C7C04"/>
    <w:pPr>
      <w:widowControl/>
      <w:spacing w:before="100" w:beforeAutospacing="1" w:after="100" w:afterAutospacing="1"/>
      <w:jc w:val="left"/>
    </w:pPr>
    <w:rPr>
      <w:rFonts w:ascii="宋体" w:eastAsia="宋体" w:hAnsi="宋体" w:cs="宋体"/>
      <w:kern w:val="0"/>
      <w:sz w:val="24"/>
    </w:rPr>
  </w:style>
  <w:style w:type="character" w:customStyle="1" w:styleId="s1">
    <w:name w:val="s1"/>
    <w:basedOn w:val="a0"/>
    <w:rsid w:val="0073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2020-03-18T20:04:00Z</dcterms:created>
  <dcterms:modified xsi:type="dcterms:W3CDTF">2020-03-18T20:33:00Z</dcterms:modified>
</cp:coreProperties>
</file>