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59" w:rsidRDefault="00495D59" w:rsidP="00495D59">
      <w:pPr>
        <w:pStyle w:val="NormalWeb"/>
        <w:shd w:val="clear" w:color="auto" w:fill="FFFFFF"/>
        <w:spacing w:before="120" w:beforeAutospacing="0" w:after="120" w:afterAutospacing="0"/>
        <w:rPr>
          <w:rFonts w:ascii="Arial" w:hAnsi="Arial" w:cs="Arial"/>
          <w:color w:val="050505"/>
        </w:rPr>
      </w:pPr>
      <w:r>
        <w:rPr>
          <w:rFonts w:ascii="Arial" w:hAnsi="Arial" w:cs="Arial"/>
          <w:color w:val="050505"/>
        </w:rPr>
        <w:t>The demand for healthcare services and products is driven by the desires of healthcare customers to attain an optimal state of health. One of the key factors which make the demand for healthcare services very different from those of any other products or services is that healthcare is also considered as an investment on the consumer’s part. The amount which is spent by the consumers to maintain good health are an investment in their future. One more factor adding to the uniqueness of healthcare demand is its high degree of inelasticity. (Ellis, Martins &amp; Zhu, 2017) This is testified by the fact that consumers falling ill purchase healthcare at whatever cost is incurred, and the demand is not affected by the prices as much as is seen in case of other products or services.</w:t>
      </w:r>
    </w:p>
    <w:p w:rsidR="00495D59" w:rsidRDefault="00495D59" w:rsidP="00495D59">
      <w:pPr>
        <w:pStyle w:val="NormalWeb"/>
        <w:shd w:val="clear" w:color="auto" w:fill="FFFFFF"/>
        <w:spacing w:before="120" w:beforeAutospacing="0" w:after="120" w:afterAutospacing="0"/>
        <w:rPr>
          <w:rFonts w:ascii="Arial" w:hAnsi="Arial" w:cs="Arial"/>
          <w:color w:val="050505"/>
        </w:rPr>
      </w:pPr>
      <w:r>
        <w:rPr>
          <w:rFonts w:ascii="Arial" w:hAnsi="Arial" w:cs="Arial"/>
          <w:color w:val="050505"/>
        </w:rPr>
        <w:t xml:space="preserve">The factors which impact the demand of healthcare services individual (consumer) factors like age, gender, educational status, occupation, marital and family status), environmental factors like physical, socio-economic, and cultural factors, medical factors like the prevalence of diseases including their </w:t>
      </w:r>
      <w:proofErr w:type="spellStart"/>
      <w:r>
        <w:rPr>
          <w:rFonts w:ascii="Arial" w:hAnsi="Arial" w:cs="Arial"/>
          <w:color w:val="050505"/>
        </w:rPr>
        <w:t>endemicity</w:t>
      </w:r>
      <w:proofErr w:type="spellEnd"/>
      <w:r>
        <w:rPr>
          <w:rFonts w:ascii="Arial" w:hAnsi="Arial" w:cs="Arial"/>
          <w:color w:val="050505"/>
        </w:rPr>
        <w:t xml:space="preserve">, </w:t>
      </w:r>
      <w:proofErr w:type="spellStart"/>
      <w:r>
        <w:rPr>
          <w:rFonts w:ascii="Arial" w:hAnsi="Arial" w:cs="Arial"/>
          <w:color w:val="050505"/>
        </w:rPr>
        <w:t>epidemicity</w:t>
      </w:r>
      <w:proofErr w:type="spellEnd"/>
      <w:r>
        <w:rPr>
          <w:rFonts w:ascii="Arial" w:hAnsi="Arial" w:cs="Arial"/>
          <w:color w:val="050505"/>
        </w:rPr>
        <w:t xml:space="preserve">, or </w:t>
      </w:r>
      <w:proofErr w:type="spellStart"/>
      <w:r>
        <w:rPr>
          <w:rFonts w:ascii="Arial" w:hAnsi="Arial" w:cs="Arial"/>
          <w:color w:val="050505"/>
        </w:rPr>
        <w:t>pandemicity</w:t>
      </w:r>
      <w:proofErr w:type="spellEnd"/>
      <w:r>
        <w:rPr>
          <w:rFonts w:ascii="Arial" w:hAnsi="Arial" w:cs="Arial"/>
          <w:color w:val="050505"/>
        </w:rPr>
        <w:t>, and payment system factors like insurance, out of pocket costs, etc.</w:t>
      </w:r>
    </w:p>
    <w:p w:rsidR="00495D59" w:rsidRDefault="00495D59" w:rsidP="00495D59">
      <w:pPr>
        <w:pStyle w:val="NormalWeb"/>
        <w:shd w:val="clear" w:color="auto" w:fill="FFFFFF"/>
        <w:spacing w:before="120" w:beforeAutospacing="0" w:after="120" w:afterAutospacing="0"/>
        <w:rPr>
          <w:rFonts w:ascii="Arial" w:hAnsi="Arial" w:cs="Arial"/>
          <w:color w:val="050505"/>
        </w:rPr>
      </w:pPr>
      <w:r>
        <w:rPr>
          <w:rFonts w:ascii="Arial" w:hAnsi="Arial" w:cs="Arial"/>
          <w:color w:val="050505"/>
        </w:rPr>
        <w:t>The methods which can be used to predict the demand for healthcare services include health forecasting, (</w:t>
      </w:r>
      <w:proofErr w:type="spellStart"/>
      <w:r>
        <w:rPr>
          <w:rFonts w:ascii="Arial" w:hAnsi="Arial" w:cs="Arial"/>
          <w:color w:val="050505"/>
        </w:rPr>
        <w:t>Soyiri</w:t>
      </w:r>
      <w:proofErr w:type="spellEnd"/>
      <w:r>
        <w:rPr>
          <w:rFonts w:ascii="Arial" w:hAnsi="Arial" w:cs="Arial"/>
          <w:color w:val="050505"/>
        </w:rPr>
        <w:t xml:space="preserve"> &amp; </w:t>
      </w:r>
      <w:proofErr w:type="spellStart"/>
      <w:r>
        <w:rPr>
          <w:rFonts w:ascii="Arial" w:hAnsi="Arial" w:cs="Arial"/>
          <w:color w:val="050505"/>
        </w:rPr>
        <w:t>Reidpath</w:t>
      </w:r>
      <w:proofErr w:type="spellEnd"/>
      <w:r>
        <w:rPr>
          <w:rFonts w:ascii="Arial" w:hAnsi="Arial" w:cs="Arial"/>
          <w:color w:val="050505"/>
        </w:rPr>
        <w:t xml:space="preserve">, 2013) and predictive analyses (Van </w:t>
      </w:r>
      <w:proofErr w:type="spellStart"/>
      <w:r>
        <w:rPr>
          <w:rFonts w:ascii="Arial" w:hAnsi="Arial" w:cs="Arial"/>
          <w:color w:val="050505"/>
        </w:rPr>
        <w:t>Calster</w:t>
      </w:r>
      <w:proofErr w:type="spellEnd"/>
      <w:r>
        <w:rPr>
          <w:rFonts w:ascii="Arial" w:hAnsi="Arial" w:cs="Arial"/>
          <w:color w:val="050505"/>
        </w:rPr>
        <w:t xml:space="preserve"> et al., 2019). These methods allow for estimation and prediction for the demand for healthcare services.</w:t>
      </w:r>
    </w:p>
    <w:p w:rsidR="00495D59" w:rsidRDefault="00495D59" w:rsidP="00495D59">
      <w:pPr>
        <w:pStyle w:val="NormalWeb"/>
        <w:shd w:val="clear" w:color="auto" w:fill="FFFFFF"/>
        <w:spacing w:before="120" w:beforeAutospacing="0" w:after="120" w:afterAutospacing="0"/>
        <w:rPr>
          <w:rFonts w:ascii="Arial" w:hAnsi="Arial" w:cs="Arial"/>
          <w:color w:val="050505"/>
        </w:rPr>
      </w:pPr>
      <w:r>
        <w:rPr>
          <w:rFonts w:ascii="Arial" w:hAnsi="Arial" w:cs="Arial"/>
          <w:color w:val="050505"/>
        </w:rPr>
        <w:t>References</w:t>
      </w:r>
    </w:p>
    <w:p w:rsidR="00495D59" w:rsidRDefault="00495D59" w:rsidP="00495D59">
      <w:pPr>
        <w:pStyle w:val="NormalWeb"/>
        <w:shd w:val="clear" w:color="auto" w:fill="FFFFFF"/>
        <w:spacing w:before="120" w:beforeAutospacing="0" w:after="0" w:afterAutospacing="0"/>
        <w:rPr>
          <w:rFonts w:ascii="Arial" w:hAnsi="Arial" w:cs="Arial"/>
          <w:color w:val="050505"/>
        </w:rPr>
      </w:pPr>
      <w:r>
        <w:rPr>
          <w:rFonts w:ascii="Arial" w:hAnsi="Arial" w:cs="Arial"/>
          <w:color w:val="050505"/>
        </w:rPr>
        <w:t>Ellis, R. P., Martins, B., &amp; Zhu, W. (2017). Health care demand elasticities by type of service. </w:t>
      </w:r>
      <w:r>
        <w:rPr>
          <w:rStyle w:val="Emphasis"/>
          <w:rFonts w:ascii="Arial" w:hAnsi="Arial" w:cs="Arial"/>
          <w:color w:val="050505"/>
        </w:rPr>
        <w:t>Journal of health economics</w:t>
      </w:r>
      <w:r>
        <w:rPr>
          <w:rFonts w:ascii="Arial" w:hAnsi="Arial" w:cs="Arial"/>
          <w:color w:val="050505"/>
        </w:rPr>
        <w:t>, </w:t>
      </w:r>
      <w:r>
        <w:rPr>
          <w:rStyle w:val="Emphasis"/>
          <w:rFonts w:ascii="Arial" w:hAnsi="Arial" w:cs="Arial"/>
          <w:color w:val="050505"/>
        </w:rPr>
        <w:t>55</w:t>
      </w:r>
      <w:r>
        <w:rPr>
          <w:rFonts w:ascii="Arial" w:hAnsi="Arial" w:cs="Arial"/>
          <w:color w:val="050505"/>
        </w:rPr>
        <w:t>, 232–243. https://doi.org/10.1016/j.jhealeco.2017.07.007</w:t>
      </w:r>
    </w:p>
    <w:p w:rsidR="00495D59" w:rsidRDefault="00495D59" w:rsidP="00495D59">
      <w:pPr>
        <w:pStyle w:val="NormalWeb"/>
        <w:shd w:val="clear" w:color="auto" w:fill="FFFFFF"/>
        <w:spacing w:before="120" w:beforeAutospacing="0" w:after="0" w:afterAutospacing="0"/>
        <w:rPr>
          <w:rFonts w:ascii="Arial" w:hAnsi="Arial" w:cs="Arial"/>
          <w:color w:val="050505"/>
        </w:rPr>
      </w:pPr>
      <w:proofErr w:type="spellStart"/>
      <w:r>
        <w:rPr>
          <w:rFonts w:ascii="Arial" w:hAnsi="Arial" w:cs="Arial"/>
          <w:color w:val="050505"/>
        </w:rPr>
        <w:t>Soyiri</w:t>
      </w:r>
      <w:proofErr w:type="spellEnd"/>
      <w:r>
        <w:rPr>
          <w:rFonts w:ascii="Arial" w:hAnsi="Arial" w:cs="Arial"/>
          <w:color w:val="050505"/>
        </w:rPr>
        <w:t xml:space="preserve">, I. N., &amp; </w:t>
      </w:r>
      <w:proofErr w:type="spellStart"/>
      <w:r>
        <w:rPr>
          <w:rFonts w:ascii="Arial" w:hAnsi="Arial" w:cs="Arial"/>
          <w:color w:val="050505"/>
        </w:rPr>
        <w:t>Reidpath</w:t>
      </w:r>
      <w:proofErr w:type="spellEnd"/>
      <w:r>
        <w:rPr>
          <w:rFonts w:ascii="Arial" w:hAnsi="Arial" w:cs="Arial"/>
          <w:color w:val="050505"/>
        </w:rPr>
        <w:t>, D. D. (2013). An overview of health forecasting. </w:t>
      </w:r>
      <w:r>
        <w:rPr>
          <w:rStyle w:val="Emphasis"/>
          <w:rFonts w:ascii="Arial" w:hAnsi="Arial" w:cs="Arial"/>
          <w:color w:val="050505"/>
        </w:rPr>
        <w:t>Environmental health and preventive medicine</w:t>
      </w:r>
      <w:r>
        <w:rPr>
          <w:rFonts w:ascii="Arial" w:hAnsi="Arial" w:cs="Arial"/>
          <w:color w:val="050505"/>
        </w:rPr>
        <w:t>, </w:t>
      </w:r>
      <w:r>
        <w:rPr>
          <w:rStyle w:val="Emphasis"/>
          <w:rFonts w:ascii="Arial" w:hAnsi="Arial" w:cs="Arial"/>
          <w:color w:val="050505"/>
        </w:rPr>
        <w:t>18</w:t>
      </w:r>
      <w:r>
        <w:rPr>
          <w:rFonts w:ascii="Arial" w:hAnsi="Arial" w:cs="Arial"/>
          <w:color w:val="050505"/>
        </w:rPr>
        <w:t>(1), 1–9. https://doi.org/10.1007/s12199-012-0294-6</w:t>
      </w:r>
    </w:p>
    <w:p w:rsidR="00495D59" w:rsidRDefault="00495D59" w:rsidP="00495D59">
      <w:pPr>
        <w:pStyle w:val="NormalWeb"/>
        <w:shd w:val="clear" w:color="auto" w:fill="FFFFFF"/>
        <w:spacing w:before="120" w:beforeAutospacing="0" w:after="0" w:afterAutospacing="0"/>
        <w:rPr>
          <w:rFonts w:ascii="Arial" w:hAnsi="Arial" w:cs="Arial"/>
          <w:color w:val="050505"/>
        </w:rPr>
      </w:pPr>
      <w:r>
        <w:rPr>
          <w:rFonts w:ascii="Arial" w:hAnsi="Arial" w:cs="Arial"/>
          <w:color w:val="050505"/>
        </w:rPr>
        <w:t xml:space="preserve">Van </w:t>
      </w:r>
      <w:proofErr w:type="spellStart"/>
      <w:r>
        <w:rPr>
          <w:rFonts w:ascii="Arial" w:hAnsi="Arial" w:cs="Arial"/>
          <w:color w:val="050505"/>
        </w:rPr>
        <w:t>Calster</w:t>
      </w:r>
      <w:proofErr w:type="spellEnd"/>
      <w:r>
        <w:rPr>
          <w:rFonts w:ascii="Arial" w:hAnsi="Arial" w:cs="Arial"/>
          <w:color w:val="050505"/>
        </w:rPr>
        <w:t xml:space="preserve">, B., </w:t>
      </w:r>
      <w:proofErr w:type="spellStart"/>
      <w:r>
        <w:rPr>
          <w:rFonts w:ascii="Arial" w:hAnsi="Arial" w:cs="Arial"/>
          <w:color w:val="050505"/>
        </w:rPr>
        <w:t>Wynants</w:t>
      </w:r>
      <w:proofErr w:type="spellEnd"/>
      <w:r>
        <w:rPr>
          <w:rFonts w:ascii="Arial" w:hAnsi="Arial" w:cs="Arial"/>
          <w:color w:val="050505"/>
        </w:rPr>
        <w:t xml:space="preserve">, L., Timmerman, D., </w:t>
      </w:r>
      <w:proofErr w:type="spellStart"/>
      <w:r>
        <w:rPr>
          <w:rFonts w:ascii="Arial" w:hAnsi="Arial" w:cs="Arial"/>
          <w:color w:val="050505"/>
        </w:rPr>
        <w:t>Steyerberg</w:t>
      </w:r>
      <w:proofErr w:type="spellEnd"/>
      <w:r>
        <w:rPr>
          <w:rFonts w:ascii="Arial" w:hAnsi="Arial" w:cs="Arial"/>
          <w:color w:val="050505"/>
        </w:rPr>
        <w:t>, E., &amp; Collins, G. (2019). Predictive analytics in health care: how can we know it works</w:t>
      </w:r>
      <w:proofErr w:type="gramStart"/>
      <w:r>
        <w:rPr>
          <w:rFonts w:ascii="Arial" w:hAnsi="Arial" w:cs="Arial"/>
          <w:color w:val="050505"/>
        </w:rPr>
        <w:t>?.</w:t>
      </w:r>
      <w:proofErr w:type="gramEnd"/>
      <w:r>
        <w:rPr>
          <w:rFonts w:ascii="Arial" w:hAnsi="Arial" w:cs="Arial"/>
          <w:color w:val="050505"/>
        </w:rPr>
        <w:t> </w:t>
      </w:r>
      <w:r>
        <w:rPr>
          <w:rStyle w:val="Emphasis"/>
          <w:rFonts w:ascii="Arial" w:hAnsi="Arial" w:cs="Arial"/>
          <w:color w:val="050505"/>
        </w:rPr>
        <w:t xml:space="preserve">Journal </w:t>
      </w:r>
      <w:proofErr w:type="gramStart"/>
      <w:r>
        <w:rPr>
          <w:rStyle w:val="Emphasis"/>
          <w:rFonts w:ascii="Arial" w:hAnsi="Arial" w:cs="Arial"/>
          <w:color w:val="050505"/>
        </w:rPr>
        <w:t>Of</w:t>
      </w:r>
      <w:proofErr w:type="gramEnd"/>
      <w:r>
        <w:rPr>
          <w:rStyle w:val="Emphasis"/>
          <w:rFonts w:ascii="Arial" w:hAnsi="Arial" w:cs="Arial"/>
          <w:color w:val="050505"/>
        </w:rPr>
        <w:t xml:space="preserve"> The American Medical Informatics Association</w:t>
      </w:r>
      <w:r>
        <w:rPr>
          <w:rFonts w:ascii="Arial" w:hAnsi="Arial" w:cs="Arial"/>
          <w:color w:val="050505"/>
        </w:rPr>
        <w:t>, </w:t>
      </w:r>
      <w:r>
        <w:rPr>
          <w:rStyle w:val="Emphasis"/>
          <w:rFonts w:ascii="Arial" w:hAnsi="Arial" w:cs="Arial"/>
          <w:color w:val="050505"/>
        </w:rPr>
        <w:t>26</w:t>
      </w:r>
      <w:r>
        <w:rPr>
          <w:rFonts w:ascii="Arial" w:hAnsi="Arial" w:cs="Arial"/>
          <w:color w:val="050505"/>
        </w:rPr>
        <w:t>(12), 1651-1654. https://doi.org/10.1093/jamia/ocz130</w:t>
      </w:r>
    </w:p>
    <w:p w:rsidR="00833A4E" w:rsidRDefault="00833A4E">
      <w:bookmarkStart w:id="0" w:name="_GoBack"/>
      <w:bookmarkEnd w:id="0"/>
    </w:p>
    <w:sectPr w:rsidR="0083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59"/>
    <w:rsid w:val="00495D59"/>
    <w:rsid w:val="00833A4E"/>
    <w:rsid w:val="00A7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7AAE-BB42-47D6-A63D-AE6B949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D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2020-03-19T16:50:00Z</dcterms:created>
  <dcterms:modified xsi:type="dcterms:W3CDTF">2020-03-19T17:23:00Z</dcterms:modified>
</cp:coreProperties>
</file>